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40FB" w14:textId="77777777" w:rsidR="005F6B4D" w:rsidRPr="005F234F" w:rsidRDefault="00000000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C59875" w14:textId="4FB065E2"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занятиям по циклу: «</w:t>
      </w:r>
      <w:r w:rsidR="009122E5">
        <w:rPr>
          <w:rFonts w:ascii="Times New Roman" w:hAnsi="Times New Roman" w:cs="Times New Roman"/>
          <w:b/>
          <w:bCs/>
          <w:sz w:val="28"/>
          <w:szCs w:val="28"/>
        </w:rPr>
        <w:t>Актуальные вопросы гематологии и трансфузиологии</w:t>
      </w:r>
      <w:r w:rsidR="005F234F" w:rsidRPr="005F234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376679F" w14:textId="77777777" w:rsidR="009D6E82" w:rsidRPr="005F234F" w:rsidRDefault="009D6E82" w:rsidP="00B94F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</w:rPr>
        <w:t>6 курс</w:t>
      </w:r>
      <w:r w:rsidR="00FE02E3" w:rsidRPr="005F23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071EB32" w14:textId="77777777"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  <w:u w:val="single"/>
        </w:rPr>
        <w:t>Гематология</w:t>
      </w:r>
    </w:p>
    <w:p w14:paraId="6D58ABFC" w14:textId="77777777" w:rsidR="009D6E82" w:rsidRPr="00122F5E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№1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анемических состояний (гипохромные, эритропоэтин-зависимые, анемии хронических заболеваний,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мегалобластные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, гемолитические).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7DCAE60B" w14:textId="77777777"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  <w:tab w:val="num" w:pos="1843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Анемии. Общие сведения (понятие, классификация, неспецифические и специфические клинико-лабораторные проявления).</w:t>
      </w:r>
    </w:p>
    <w:p w14:paraId="6BE82BCE" w14:textId="77777777"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Гипохрмные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анемии. Дифференциальный диагноз гипохромных анемий. </w:t>
      </w:r>
      <w:r w:rsidRPr="00E72FE1">
        <w:rPr>
          <w:rFonts w:ascii="Times New Roman" w:eastAsia="Calibri" w:hAnsi="Times New Roman" w:cs="Times New Roman"/>
          <w:sz w:val="24"/>
          <w:szCs w:val="24"/>
        </w:rPr>
        <w:t>Железодефицитная анемия. Этиология, патогенез, клинико-гематологическая картина, лабораторная диагностика.</w:t>
      </w:r>
    </w:p>
    <w:p w14:paraId="44E568C2" w14:textId="77777777" w:rsidR="00122F5E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Современные подходы к терапии ЖДА. Критерии эффективности терапии. Препараты железа.</w:t>
      </w:r>
    </w:p>
    <w:p w14:paraId="2FF0BC1C" w14:textId="77777777"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hAnsi="Times New Roman"/>
          <w:sz w:val="24"/>
        </w:rPr>
        <w:t>Понятие о врожденных и приобретенных гемолитических анемиях, классификация.</w:t>
      </w:r>
    </w:p>
    <w:p w14:paraId="416D4BA6" w14:textId="77777777"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hAnsi="Times New Roman"/>
          <w:sz w:val="24"/>
        </w:rPr>
        <w:t xml:space="preserve">Определение наследственной микросфероцитарной гемолитической анемии </w:t>
      </w:r>
      <w:proofErr w:type="spellStart"/>
      <w:r w:rsidRPr="00E72FE1">
        <w:rPr>
          <w:rFonts w:ascii="Times New Roman" w:hAnsi="Times New Roman"/>
          <w:sz w:val="24"/>
        </w:rPr>
        <w:t>Минковского-Шоффара</w:t>
      </w:r>
      <w:proofErr w:type="spellEnd"/>
      <w:r w:rsidRPr="00E72FE1">
        <w:rPr>
          <w:rFonts w:ascii="Times New Roman" w:hAnsi="Times New Roman"/>
          <w:sz w:val="24"/>
        </w:rPr>
        <w:t xml:space="preserve">, клинические синдромы и </w:t>
      </w:r>
      <w:proofErr w:type="spellStart"/>
      <w:r w:rsidRPr="00E72FE1">
        <w:rPr>
          <w:rFonts w:ascii="Times New Roman" w:hAnsi="Times New Roman"/>
          <w:sz w:val="24"/>
        </w:rPr>
        <w:t>параклинические</w:t>
      </w:r>
      <w:proofErr w:type="spellEnd"/>
      <w:r w:rsidRPr="00E72FE1">
        <w:rPr>
          <w:rFonts w:ascii="Times New Roman" w:hAnsi="Times New Roman"/>
          <w:sz w:val="24"/>
        </w:rPr>
        <w:t xml:space="preserve"> аспекты диагностики.</w:t>
      </w:r>
    </w:p>
    <w:p w14:paraId="18FBF21A" w14:textId="77777777" w:rsidR="00122F5E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3424F0">
        <w:rPr>
          <w:rFonts w:ascii="Times New Roman" w:hAnsi="Times New Roman"/>
          <w:sz w:val="24"/>
        </w:rPr>
        <w:t>Дифференциальная диагностика и принципы оказания первой медицинской помощи при гемолитическом кризе; показания к спленэктомии</w:t>
      </w:r>
      <w:r>
        <w:rPr>
          <w:rFonts w:ascii="Times New Roman" w:hAnsi="Times New Roman"/>
          <w:sz w:val="24"/>
        </w:rPr>
        <w:t>.</w:t>
      </w:r>
    </w:p>
    <w:p w14:paraId="14839E46" w14:textId="77777777" w:rsidR="00122F5E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hAnsi="Times New Roman"/>
          <w:sz w:val="24"/>
        </w:rPr>
        <w:t>Приобретенные гемолитические анемии. Этиология, классификация патогенез, клинико-гематологическая картина, лабораторная диагностика.</w:t>
      </w:r>
    </w:p>
    <w:p w14:paraId="185B9A34" w14:textId="77777777"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В12 - , </w:t>
      </w:r>
      <w:proofErr w:type="spellStart"/>
      <w:r w:rsidRPr="00E72FE1">
        <w:rPr>
          <w:rFonts w:ascii="Times New Roman" w:eastAsia="Calibri" w:hAnsi="Times New Roman" w:cs="Times New Roman"/>
          <w:sz w:val="24"/>
          <w:szCs w:val="24"/>
        </w:rPr>
        <w:t>фолиеводефицитная</w:t>
      </w:r>
      <w:proofErr w:type="spellEnd"/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 анемии. Этиология, патогенез, клинико-гематологическая картина, лабораторная диагностика. </w:t>
      </w:r>
      <w:proofErr w:type="spellStart"/>
      <w:r w:rsidRPr="00E72FE1">
        <w:rPr>
          <w:rFonts w:ascii="Times New Roman" w:eastAsia="Calibri" w:hAnsi="Times New Roman" w:cs="Times New Roman"/>
          <w:sz w:val="24"/>
          <w:szCs w:val="24"/>
        </w:rPr>
        <w:t>Фуникулярныймиелоз</w:t>
      </w:r>
      <w:proofErr w:type="spellEnd"/>
      <w:r w:rsidRPr="00E72FE1">
        <w:rPr>
          <w:rFonts w:ascii="Times New Roman" w:eastAsia="Calibri" w:hAnsi="Times New Roman" w:cs="Times New Roman"/>
          <w:sz w:val="24"/>
          <w:szCs w:val="24"/>
        </w:rPr>
        <w:t>: характерные признаки и механизм возникновения.</w:t>
      </w:r>
    </w:p>
    <w:p w14:paraId="0D378E44" w14:textId="77777777"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Современные подходы к терапии В12 -, </w:t>
      </w:r>
      <w:proofErr w:type="spellStart"/>
      <w:r w:rsidRPr="00E72FE1">
        <w:rPr>
          <w:rFonts w:ascii="Times New Roman" w:eastAsia="Calibri" w:hAnsi="Times New Roman" w:cs="Times New Roman"/>
          <w:sz w:val="24"/>
          <w:szCs w:val="24"/>
        </w:rPr>
        <w:t>фолиеводефицитная</w:t>
      </w:r>
      <w:proofErr w:type="spellEnd"/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 анемии. Критерии эффективности терапии. </w:t>
      </w:r>
    </w:p>
    <w:p w14:paraId="27598439" w14:textId="77777777" w:rsidR="00122F5E" w:rsidRDefault="00122F5E" w:rsidP="009D6E82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Анемия хронических заболеваний. Этиология, патогенез, клинико-гематологическая картина, лабораторная диагностика. Подходы к терапии.</w:t>
      </w:r>
    </w:p>
    <w:p w14:paraId="3032370E" w14:textId="77777777" w:rsidR="00122F5E" w:rsidRPr="00122F5E" w:rsidRDefault="00122F5E" w:rsidP="00122F5E">
      <w:pPr>
        <w:pStyle w:val="a3"/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</w:p>
    <w:p w14:paraId="1176DE58" w14:textId="77777777" w:rsidR="009D6E82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№2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лимфопролиферативного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синдрома (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лимфоаденопатии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спленомегалии,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лейкемоидные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реакции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лимфоцитарного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типа). Алгоритм диагностики и подходы к терапии лимфомы Ходжкина и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неходжкинских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лимфом.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183C89AC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1.  Понятие о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лимфопролиферативном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синдроме. Клиническая картина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лимфопролиферативного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синдрома. Дифференциальный диагноз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лимфаденопатий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>, спленомегалии.</w:t>
      </w:r>
    </w:p>
    <w:p w14:paraId="657A4BB2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2. 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Лейкемоидные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реакции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лимфоцитарного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типа.</w:t>
      </w:r>
    </w:p>
    <w:p w14:paraId="1FB6DF0E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Times New Roman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Роль цитогенетических 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иммуноцитохимических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методов исследования в диагностике и стратификации риска для пациентов с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лимфопролиферативным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заболеванием.</w:t>
      </w:r>
    </w:p>
    <w:p w14:paraId="4597EB6F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Классификация лимфом, ВОЗ 2016г.</w:t>
      </w:r>
    </w:p>
    <w:p w14:paraId="702FE8DF" w14:textId="77777777" w:rsidR="00122F5E" w:rsidRPr="00CF4A6C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В-клеточные лимфомы: определение,  этиология, патогенез, клинические проявления, диагностика, подходы к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лечению.</w:t>
      </w:r>
      <w:r>
        <w:rPr>
          <w:rFonts w:ascii="Times New Roman" w:hAnsi="Times New Roman" w:cs="Times New Roman"/>
          <w:sz w:val="24"/>
          <w:szCs w:val="24"/>
        </w:rPr>
        <w:t>Классификация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лимфом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AnnArbor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905B443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Лимфома Ходжкина: </w:t>
      </w:r>
      <w:r>
        <w:rPr>
          <w:rFonts w:ascii="Times New Roman" w:eastAsia="Calibri" w:hAnsi="Times New Roman" w:cs="Times New Roman"/>
          <w:sz w:val="24"/>
          <w:szCs w:val="24"/>
        </w:rPr>
        <w:t>определение, эпидемиология, этиология, патогенез, клинические проявления. Гистологические варианты лимфомы Ходжкина.</w:t>
      </w:r>
    </w:p>
    <w:p w14:paraId="6AE154EA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Возможности современной терапии лимфомы Ходжкина.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Таргетные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препараты нового поколения: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брентуксимаб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ведотин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пембролизумаб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ниволумаб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Принцип действия.</w:t>
      </w:r>
    </w:p>
    <w:p w14:paraId="61838878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Неходжкинские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лимфомы: фолликулярная лимфома, Диффузная В-крупноклеточная лимфома,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мантийно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-клеточная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лифмома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MALT</w:t>
      </w:r>
      <w:r>
        <w:rPr>
          <w:rFonts w:ascii="Times New Roman" w:eastAsia="Calibri" w:hAnsi="Times New Roman" w:cs="Times New Roman"/>
          <w:sz w:val="24"/>
          <w:szCs w:val="24"/>
        </w:rPr>
        <w:t xml:space="preserve">-лимфома. Этиология, патогенез, лабораторно-инструментальная диагностика, подходы к терапии (схемы ПХТ,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таргетная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терапия).</w:t>
      </w:r>
    </w:p>
    <w:p w14:paraId="0E17605A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 Хронический лимфолейкоз (ХЛЛ): определение, эпидемиология, этиология, патогенез, клинические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проявления.Критерии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диагноза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ХЛЛ.Стадии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хронического лимфолейкоза по классификации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Binet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Rai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1D820BB" w14:textId="77777777" w:rsidR="00122F5E" w:rsidRP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 Современные подходы к терапии пациентов с хроническим лимфолейкозом. Терапевтическая тактика в зависимости от возраста пациента и сопутствующего соматического фона.</w:t>
      </w:r>
    </w:p>
    <w:p w14:paraId="4B6C7D13" w14:textId="77777777" w:rsidR="009D6E82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№3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парапротеинемий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(понятие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моноклональныхгаммапатий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критерии диагноза, алгоритм диагностики и современные подходы к терапии парапротеинемических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гемобластозов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множественной миеломы и болезни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Вальденстрема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).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1C072543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Понятие 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моноклональных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гаммопатиях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определение, классификация, этиология, патогенез.</w:t>
      </w:r>
    </w:p>
    <w:p w14:paraId="592D2945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Критерии доброкачественной моноклональной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гаммопатии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95232B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Методы диагностики парапротеинемических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гемобластозов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8730010" w14:textId="77777777" w:rsidR="00122F5E" w:rsidRPr="003C1EF6" w:rsidRDefault="00122F5E" w:rsidP="00122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Множественная миелома: этиология, патогенез, клинические проявления, диагностика.</w:t>
      </w:r>
    </w:p>
    <w:p w14:paraId="4ED63EAD" w14:textId="77777777" w:rsidR="00122F5E" w:rsidRDefault="00122F5E" w:rsidP="00122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Понятие о белке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-Джонса, М-градиенте.</w:t>
      </w:r>
    </w:p>
    <w:p w14:paraId="0C2F5D06" w14:textId="77777777" w:rsidR="00122F5E" w:rsidRPr="003C1EF6" w:rsidRDefault="00122F5E" w:rsidP="00122F5E">
      <w:r>
        <w:rPr>
          <w:rFonts w:ascii="Times New Roman" w:eastAsia="Calibri" w:hAnsi="Times New Roman" w:cs="Times New Roman"/>
          <w:sz w:val="24"/>
          <w:szCs w:val="24"/>
        </w:rPr>
        <w:t xml:space="preserve">6. Классификация множественной миеломы по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Durie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Salmon</w:t>
      </w:r>
      <w:proofErr w:type="spellEnd"/>
      <w:r w:rsidRPr="00FF7AFC">
        <w:rPr>
          <w:rFonts w:ascii="Times New Roman" w:eastAsia="Calibri" w:hAnsi="Times New Roman" w:cs="Times New Roman"/>
          <w:sz w:val="24"/>
          <w:szCs w:val="24"/>
        </w:rPr>
        <w:t>, ISS.</w:t>
      </w:r>
    </w:p>
    <w:p w14:paraId="1010716B" w14:textId="77777777" w:rsidR="00122F5E" w:rsidRPr="003C1EF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7. Подходы к терапии множественной миеломы. Лечение рецидивирующих и рефрактерных форм ММ. </w:t>
      </w:r>
    </w:p>
    <w:p w14:paraId="61DBDF39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8.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Макроглобулинемия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7AFC">
        <w:rPr>
          <w:rFonts w:ascii="Times New Roman" w:eastAsia="Calibri" w:hAnsi="Times New Roman" w:cs="Times New Roman"/>
          <w:sz w:val="24"/>
          <w:szCs w:val="24"/>
        </w:rPr>
        <w:t>Валеденстрема</w:t>
      </w:r>
      <w:proofErr w:type="spellEnd"/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</w:rPr>
        <w:t>этиология, патогенез, клинические проявления, диагностика.</w:t>
      </w:r>
    </w:p>
    <w:p w14:paraId="4B0F873E" w14:textId="77777777" w:rsidR="00122F5E" w:rsidRPr="00122F5E" w:rsidRDefault="00122F5E" w:rsidP="00122F5E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9. Критерии диагноза, терапевтическая тактика.</w:t>
      </w:r>
    </w:p>
    <w:p w14:paraId="2DC420D4" w14:textId="77777777" w:rsidR="009D6E82" w:rsidRDefault="009D6E82" w:rsidP="00122F5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№4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миелопролиферативного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синдрома (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лейкемоидные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реакции миелоидного типа,  вторичные эритроцитозы, вторичные тромбоцитозы). Критерии диагноза, дифференциальная диагностика и современные подходы к терапии хронических </w:t>
      </w:r>
      <w:proofErr w:type="spell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миелопролиферативных</w:t>
      </w:r>
      <w:proofErr w:type="spell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заболеваний.»</w:t>
      </w:r>
    </w:p>
    <w:p w14:paraId="582C2D8C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 Понятие 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</w:t>
      </w:r>
      <w:r w:rsidRPr="00724B46">
        <w:rPr>
          <w:rFonts w:ascii="Times New Roman" w:eastAsia="Calibri" w:hAnsi="Times New Roman" w:cs="Times New Roman"/>
          <w:sz w:val="24"/>
          <w:szCs w:val="24"/>
        </w:rPr>
        <w:t>опролиферативном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синдроме. Клиническая картина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</w:t>
      </w:r>
      <w:r w:rsidRPr="00724B46">
        <w:rPr>
          <w:rFonts w:ascii="Times New Roman" w:eastAsia="Calibri" w:hAnsi="Times New Roman" w:cs="Times New Roman"/>
          <w:sz w:val="24"/>
          <w:szCs w:val="24"/>
        </w:rPr>
        <w:t>пролиферативного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синдрома. </w:t>
      </w:r>
    </w:p>
    <w:p w14:paraId="31DC271B" w14:textId="77777777"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2.  </w:t>
      </w:r>
      <w:proofErr w:type="spellStart"/>
      <w:r w:rsidRPr="00724B46">
        <w:rPr>
          <w:rFonts w:ascii="Times New Roman" w:eastAsia="Calibri" w:hAnsi="Times New Roman" w:cs="Times New Roman"/>
          <w:sz w:val="24"/>
          <w:szCs w:val="24"/>
        </w:rPr>
        <w:t>Лейкемоидные</w:t>
      </w:r>
      <w:proofErr w:type="spellEnd"/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 реакции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миелоидного </w:t>
      </w:r>
      <w:r w:rsidRPr="00724B46">
        <w:rPr>
          <w:rFonts w:ascii="Times New Roman" w:eastAsia="Calibri" w:hAnsi="Times New Roman" w:cs="Times New Roman"/>
          <w:sz w:val="24"/>
          <w:szCs w:val="24"/>
        </w:rPr>
        <w:t>типа.</w:t>
      </w:r>
    </w:p>
    <w:p w14:paraId="65D50914" w14:textId="77777777"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Times New Roman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Роль цитогенетических и молекулярно-биологических методов исследования в диагностике и стратификации риска для пациентов с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миелопролиферативным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заболеванием.</w:t>
      </w:r>
    </w:p>
    <w:p w14:paraId="38CA2F0A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Хронический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миелолейкоз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 определение,  этиология, патогенез, клинические проявления,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диагностика.Стадии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(фазы) хронического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миелолейкоза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клинико-гематологическая характеристика, критерии диагноза, согласно ВОЗ/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ELN</w:t>
      </w:r>
      <w:r w:rsidRPr="00724B4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F7B6641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Понятие о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Ph</w:t>
      </w:r>
      <w:r>
        <w:rPr>
          <w:rFonts w:ascii="Times New Roman" w:eastAsia="Calibri" w:hAnsi="Times New Roman" w:cs="Times New Roman"/>
          <w:sz w:val="24"/>
          <w:szCs w:val="24"/>
        </w:rPr>
        <w:t>-хромосоме.</w:t>
      </w:r>
    </w:p>
    <w:p w14:paraId="7C0E9A5C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Современные подходы к терапии хронического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миелолейкоза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таргетная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терапия ингибиторами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тирозинкиназы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744B7F4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. Истинная полицитемия: определение,  этиология, патогенез. Большие и малые критерии истиной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полицитемии.Современные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подходы к диагностике и комплексная терапия истинной полицитемии.  </w:t>
      </w:r>
    </w:p>
    <w:p w14:paraId="0251E14A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Дифференциальный диагноз истинной полицитемии и вторичных эритроцитозов. </w:t>
      </w:r>
    </w:p>
    <w:p w14:paraId="1A3C789A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 Первичный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миелофиброз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определение, этиология, патогенез. Критерии диагноза. Методы диагностики, принцип лечения.</w:t>
      </w:r>
    </w:p>
    <w:p w14:paraId="1CEB5F93" w14:textId="77777777"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Эссенциальная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тромбоцитемия: определение, этиология, патогенез. Критерии диагноза. Методы диагностики, принцип лечения. Дифференциальный диагноз с вторичными тромбоцитозами.</w:t>
      </w:r>
    </w:p>
    <w:p w14:paraId="0CBE5AA7" w14:textId="77777777" w:rsidR="00122F5E" w:rsidRP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A880BF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№5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Дифференциальная диагностика геморрагического синдрома. Критерии диагноза геморрагических диатезов и современные  стандарты лечения.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4460158C" w14:textId="77777777"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Геморрагические диатез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ы: определение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понятия.Типы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кровоточивости по З.С.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Баркагану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клиническая характеристика каждого типа кровоточивости, причины возникновения и механизмы развития. </w:t>
      </w:r>
    </w:p>
    <w:p w14:paraId="352786EF" w14:textId="77777777"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Тромбоцитопении.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Классификация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Этиология, патогенез, основные проявления, принципы диагностики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лечение.Механизмы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развития иммунных форм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тромбоцитопений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связанных с повышенным разрушением тромбоцитов.</w:t>
      </w:r>
    </w:p>
    <w:p w14:paraId="487047F4" w14:textId="77777777" w:rsidR="00122F5E" w:rsidRPr="00804A79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ромбоцитопатии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Классификация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Этиология, патогенез, основные проявления, принципы диагностики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лечение.Изменения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молекулярной структуре тромбоцитов, лежащие в основе развития наследственных форм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тромбоцитопатий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16854046" w14:textId="77777777"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Коагулопатии</w:t>
      </w:r>
      <w:proofErr w:type="spellEnd"/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Виды. Этиология, патогенез, основные проявления, принципы диагностики. Гемофилия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и В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 этио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логия,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патогенез, клинические и лабораторные проявления.</w:t>
      </w:r>
    </w:p>
    <w:p w14:paraId="10FF6EBC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Современные подходы к терапии пациентов с гемофилией. </w:t>
      </w:r>
    </w:p>
    <w:p w14:paraId="3247E9B4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Геморрагическая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телеангиэктазия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(болезнь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Рондю-Ослера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BDD7C34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Б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олезнь (геморрагический васкулит) </w:t>
      </w:r>
      <w:proofErr w:type="spell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Шенлейна-Геноха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</w:t>
      </w:r>
      <w:proofErr w:type="spell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4AF29A40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Болезнь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Виллебранда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современные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8146E67" w14:textId="77777777"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ДВС-синдром: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современные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22DC4780" w14:textId="77777777" w:rsidR="00122F5E" w:rsidRP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 Интегральные методы диагностики системы гемостаза: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тромбодинамика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тромбоэластометрия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тест генерации тромбина.</w:t>
      </w:r>
    </w:p>
    <w:p w14:paraId="5F000D89" w14:textId="77777777"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  <w:u w:val="single"/>
        </w:rPr>
        <w:t>Трансфузиология</w:t>
      </w:r>
    </w:p>
    <w:p w14:paraId="2014233A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№1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Антигенные системы эритроцитов. Подгруппы в системе АВО, фенотип системы резус.  Алгоритм выполнения гемотрансфузий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3F983579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Понятие «подгруппа» системы АВО.</w:t>
      </w:r>
    </w:p>
    <w:p w14:paraId="4D482EC9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подгруппы второй группы.</w:t>
      </w:r>
    </w:p>
    <w:p w14:paraId="6537A7F7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подгруппы четвертой группы.</w:t>
      </w:r>
    </w:p>
    <w:p w14:paraId="23338B7E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тактика у пациентов с подгруппами системы АВО.</w:t>
      </w:r>
    </w:p>
    <w:p w14:paraId="0B7B35AC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Выявление приобретенного В- фенотипа.</w:t>
      </w:r>
    </w:p>
    <w:p w14:paraId="10C6B33F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 тактика у пациента с приобретенным В – фенотипом.</w:t>
      </w:r>
    </w:p>
    <w:p w14:paraId="31D72E5C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фенотипа Бомбей.</w:t>
      </w:r>
    </w:p>
    <w:p w14:paraId="271A5B49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 тактика у пациента с фенотипом Бомбей.</w:t>
      </w:r>
    </w:p>
    <w:p w14:paraId="392CCD85" w14:textId="77777777"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Правило подбора компонента крови по фенотипу системы резус.</w:t>
      </w:r>
    </w:p>
    <w:p w14:paraId="06D54488" w14:textId="77777777" w:rsidR="00122F5E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Пробы на совместимость.</w:t>
      </w:r>
    </w:p>
    <w:p w14:paraId="3EB2C762" w14:textId="77777777" w:rsidR="00122F5E" w:rsidRPr="00122F5E" w:rsidRDefault="00122F5E" w:rsidP="00122F5E">
      <w:pPr>
        <w:pStyle w:val="a3"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8"/>
        </w:rPr>
      </w:pPr>
    </w:p>
    <w:p w14:paraId="6B97DA5C" w14:textId="77777777"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№2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Компоненты донорской крови. Технологии производства. Применение в  клинической практике.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14:paraId="3BA0DA82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Эритроцитная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масса. Характеристика компонента. Показания к применению.</w:t>
      </w:r>
    </w:p>
    <w:p w14:paraId="24EB7409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Эритроциты в добавочном растворе. Характеристика компонента. Показания к применению.</w:t>
      </w:r>
    </w:p>
    <w:p w14:paraId="77CF49B1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 xml:space="preserve">Эритроциты в добавочном растворе с удаленным </w:t>
      </w: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лейкотрмбослоем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>. Характеристика компонента. Показания к применению.</w:t>
      </w:r>
    </w:p>
    <w:p w14:paraId="664B15FE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Отмытые эритроциты. Характеристика компонента. Показания к применению.</w:t>
      </w:r>
    </w:p>
    <w:p w14:paraId="69979381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Карантинизированная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свежезамороженная плазма. Характеристика компонента. Показания к применению.</w:t>
      </w:r>
    </w:p>
    <w:p w14:paraId="77029AB8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Вирусинактивированная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плазма. Характеристика компонента. Показания к применению.</w:t>
      </w:r>
    </w:p>
    <w:p w14:paraId="39F68366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Криопреципитат. Характеристика компонента. Показания к применению.</w:t>
      </w:r>
    </w:p>
    <w:p w14:paraId="411BB1F4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Тромбоцтыпулированныеполидонорские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>. Характеристика компонента. Показания к применению.</w:t>
      </w:r>
    </w:p>
    <w:p w14:paraId="5E86A592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 xml:space="preserve">Тромбоциты полученные методом </w:t>
      </w:r>
      <w:proofErr w:type="spellStart"/>
      <w:r w:rsidRPr="008A092B">
        <w:rPr>
          <w:rFonts w:ascii="Times New Roman" w:hAnsi="Times New Roman" w:cs="Times New Roman"/>
          <w:sz w:val="24"/>
          <w:szCs w:val="28"/>
        </w:rPr>
        <w:t>тромбоцитофереза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>. Характеристика компонента. Показания к применению.</w:t>
      </w:r>
    </w:p>
    <w:p w14:paraId="6E8ABA43" w14:textId="77777777"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spellStart"/>
      <w:r w:rsidRPr="008A092B">
        <w:rPr>
          <w:rFonts w:ascii="Times New Roman" w:hAnsi="Times New Roman" w:cs="Times New Roman"/>
          <w:sz w:val="24"/>
          <w:szCs w:val="28"/>
        </w:rPr>
        <w:t>Криоконсервированные</w:t>
      </w:r>
      <w:proofErr w:type="spellEnd"/>
      <w:r w:rsidRPr="008A092B">
        <w:rPr>
          <w:rFonts w:ascii="Times New Roman" w:hAnsi="Times New Roman" w:cs="Times New Roman"/>
          <w:sz w:val="24"/>
          <w:szCs w:val="28"/>
        </w:rPr>
        <w:t xml:space="preserve"> эритроциты. Характеристика компонента. Показания к применению.</w:t>
      </w:r>
    </w:p>
    <w:p w14:paraId="5B188F94" w14:textId="77777777" w:rsidR="00122F5E" w:rsidRDefault="002F4A04" w:rsidP="009D6E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№3: «</w:t>
      </w:r>
      <w:r w:rsidRPr="002F4A04">
        <w:rPr>
          <w:rFonts w:ascii="Times New Roman" w:eastAsia="Times New Roman" w:hAnsi="Times New Roman" w:cs="Times New Roman"/>
          <w:b/>
          <w:bCs/>
          <w:sz w:val="28"/>
          <w:szCs w:val="28"/>
        </w:rPr>
        <w:t>Гемотрансфузионные реакции и осложнения.</w:t>
      </w:r>
      <w:r w:rsidRPr="002F4A04">
        <w:rPr>
          <w:rFonts w:ascii="Times New Roman" w:hAnsi="Times New Roman" w:cs="Times New Roman"/>
          <w:b/>
          <w:sz w:val="28"/>
          <w:szCs w:val="28"/>
        </w:rPr>
        <w:t>»</w:t>
      </w:r>
    </w:p>
    <w:p w14:paraId="584908B1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1. Классификация гемотрансфузионных осложнений.</w:t>
      </w:r>
    </w:p>
    <w:p w14:paraId="04DF45AC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2 . </w:t>
      </w:r>
      <w:proofErr w:type="spellStart"/>
      <w:r w:rsidRPr="008A092B">
        <w:rPr>
          <w:rFonts w:ascii="Times New Roman" w:hAnsi="Times New Roman" w:cs="Times New Roman"/>
          <w:sz w:val="24"/>
          <w:szCs w:val="24"/>
        </w:rPr>
        <w:t>Цитратно</w:t>
      </w:r>
      <w:proofErr w:type="spellEnd"/>
      <w:r w:rsidRPr="008A092B">
        <w:rPr>
          <w:rFonts w:ascii="Times New Roman" w:hAnsi="Times New Roman" w:cs="Times New Roman"/>
          <w:sz w:val="24"/>
          <w:szCs w:val="24"/>
        </w:rPr>
        <w:t xml:space="preserve"> – калиевая интоксикация. Причины. </w:t>
      </w:r>
      <w:proofErr w:type="spellStart"/>
      <w:r w:rsidRPr="008A092B">
        <w:rPr>
          <w:rFonts w:ascii="Times New Roman" w:hAnsi="Times New Roman" w:cs="Times New Roman"/>
          <w:sz w:val="24"/>
          <w:szCs w:val="24"/>
        </w:rPr>
        <w:t>Клиника.Профилактика</w:t>
      </w:r>
      <w:proofErr w:type="spellEnd"/>
      <w:r w:rsidRPr="008A092B">
        <w:rPr>
          <w:rFonts w:ascii="Times New Roman" w:hAnsi="Times New Roman" w:cs="Times New Roman"/>
          <w:sz w:val="24"/>
          <w:szCs w:val="24"/>
        </w:rPr>
        <w:t>.</w:t>
      </w:r>
    </w:p>
    <w:p w14:paraId="04808306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3.Неиммунные гемолитические гемотрансфузионные реакции и осложнения.</w:t>
      </w:r>
    </w:p>
    <w:p w14:paraId="512F1EBF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4.Острый иммунный внутрисосудистый гемолиз.</w:t>
      </w:r>
    </w:p>
    <w:p w14:paraId="17BB6D9D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5.Отсроченный иммунный внутриклеточный гемолиз.</w:t>
      </w:r>
    </w:p>
    <w:p w14:paraId="0C68ECEA" w14:textId="77777777" w:rsidR="002F4A04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6.Температурные </w:t>
      </w:r>
      <w:proofErr w:type="spellStart"/>
      <w:r w:rsidRPr="008A092B">
        <w:rPr>
          <w:rFonts w:ascii="Times New Roman" w:hAnsi="Times New Roman" w:cs="Times New Roman"/>
          <w:sz w:val="24"/>
          <w:szCs w:val="24"/>
        </w:rPr>
        <w:t>негемолитические</w:t>
      </w:r>
      <w:proofErr w:type="spellEnd"/>
      <w:r w:rsidRPr="008A092B">
        <w:rPr>
          <w:rFonts w:ascii="Times New Roman" w:hAnsi="Times New Roman" w:cs="Times New Roman"/>
          <w:sz w:val="24"/>
          <w:szCs w:val="24"/>
        </w:rPr>
        <w:t xml:space="preserve"> посттрансфузионные реакции. Причины. Клиника. Профилактика.</w:t>
      </w:r>
    </w:p>
    <w:p w14:paraId="30558E6C" w14:textId="77777777"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7.Инфекционные гемотрансфузионные осложнения. </w:t>
      </w:r>
    </w:p>
    <w:p w14:paraId="5D458EAA" w14:textId="77777777" w:rsidR="002F4A04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 xml:space="preserve">8.Пострансфузионный </w:t>
      </w:r>
      <w:proofErr w:type="spellStart"/>
      <w:r w:rsidRPr="008A092B">
        <w:rPr>
          <w:rFonts w:ascii="Times New Roman" w:eastAsia="Times New Roman" w:hAnsi="Times New Roman" w:cs="Times New Roman"/>
          <w:sz w:val="24"/>
          <w:szCs w:val="24"/>
        </w:rPr>
        <w:t>гемохроматоз</w:t>
      </w:r>
      <w:proofErr w:type="spellEnd"/>
      <w:r w:rsidRPr="008A09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7EE9E5" w14:textId="77777777" w:rsidR="002F4A04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9.Волемическая перегрузка.</w:t>
      </w:r>
    </w:p>
    <w:p w14:paraId="2FDFE3BD" w14:textId="77777777" w:rsidR="002F4A04" w:rsidRPr="008A092B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10. Посттрансфузионная иммунная тромбоцитопеническая пурпура</w:t>
      </w:r>
    </w:p>
    <w:p w14:paraId="3B309291" w14:textId="77777777" w:rsidR="002F4A04" w:rsidRPr="00122F5E" w:rsidRDefault="002F4A04" w:rsidP="009D6E82">
      <w:pPr>
        <w:rPr>
          <w:rFonts w:ascii="Times New Roman" w:hAnsi="Times New Roman" w:cs="Times New Roman"/>
          <w:b/>
          <w:sz w:val="28"/>
          <w:szCs w:val="28"/>
        </w:rPr>
      </w:pPr>
    </w:p>
    <w:p w14:paraId="51739466" w14:textId="77777777" w:rsidR="009D6E82" w:rsidRPr="009D6E82" w:rsidRDefault="009D6E82" w:rsidP="009D6E8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D6E82" w:rsidRPr="009D6E8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 w15:restartNumberingAfterBreak="0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826891868">
    <w:abstractNumId w:val="2"/>
  </w:num>
  <w:num w:numId="2" w16cid:durableId="1291278409">
    <w:abstractNumId w:val="3"/>
  </w:num>
  <w:num w:numId="3" w16cid:durableId="1755086121">
    <w:abstractNumId w:val="0"/>
  </w:num>
  <w:num w:numId="4" w16cid:durableId="1526285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E82"/>
    <w:rsid w:val="00122F5E"/>
    <w:rsid w:val="001D406F"/>
    <w:rsid w:val="002F4A04"/>
    <w:rsid w:val="00431B6C"/>
    <w:rsid w:val="0043794A"/>
    <w:rsid w:val="005F234F"/>
    <w:rsid w:val="006512E7"/>
    <w:rsid w:val="00781F25"/>
    <w:rsid w:val="008B5DC8"/>
    <w:rsid w:val="009122E5"/>
    <w:rsid w:val="00994C86"/>
    <w:rsid w:val="009D6E82"/>
    <w:rsid w:val="00B94F4C"/>
    <w:rsid w:val="00DF6532"/>
    <w:rsid w:val="00F602C8"/>
    <w:rsid w:val="00FE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D9F46"/>
  <w15:docId w15:val="{0D9C4B84-0AC2-403D-AAEE-EFE1103C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F5E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Войтко Мария Сергеевна</cp:lastModifiedBy>
  <cp:revision>2</cp:revision>
  <dcterms:created xsi:type="dcterms:W3CDTF">2023-08-31T08:04:00Z</dcterms:created>
  <dcterms:modified xsi:type="dcterms:W3CDTF">2023-08-31T08:04:00Z</dcterms:modified>
</cp:coreProperties>
</file>