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A3291" w14:textId="77777777" w:rsidR="00A32B63" w:rsidRPr="00F53EA8" w:rsidRDefault="00A32B63" w:rsidP="00506F9C">
      <w:pPr>
        <w:spacing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52F20DE3" w14:textId="77777777" w:rsidR="00506F9C" w:rsidRPr="00F53EA8" w:rsidRDefault="00A32B63" w:rsidP="00506F9C">
      <w:pPr>
        <w:spacing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53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Вопросы для подготовки к занятиям по циклу </w:t>
      </w:r>
    </w:p>
    <w:p w14:paraId="5D82D6CA" w14:textId="32E69515" w:rsidR="00A32B63" w:rsidRPr="00F53EA8" w:rsidRDefault="00A32B63" w:rsidP="00506F9C">
      <w:pPr>
        <w:spacing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53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«</w:t>
      </w:r>
      <w:r w:rsidR="00506F9C" w:rsidRPr="00F53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Семиотика поражения системы крови</w:t>
      </w:r>
      <w:r w:rsidRPr="00F53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»</w:t>
      </w:r>
    </w:p>
    <w:p w14:paraId="7F76F5CB" w14:textId="2398F64E" w:rsidR="00A32B63" w:rsidRPr="00F53EA8" w:rsidRDefault="00A32B63" w:rsidP="00506F9C">
      <w:pPr>
        <w:spacing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53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3 курс,  </w:t>
      </w:r>
      <w:r w:rsidR="00506F9C" w:rsidRPr="00F53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педиатрический</w:t>
      </w:r>
      <w:r w:rsidRPr="00F53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факультет</w:t>
      </w:r>
    </w:p>
    <w:p w14:paraId="2039FFEB" w14:textId="55A7D5C6" w:rsidR="00A32B63" w:rsidRPr="00506F9C" w:rsidRDefault="00A32B63" w:rsidP="00506F9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C1B97F6" w14:textId="7D02EFBF" w:rsidR="00A32B63" w:rsidRPr="00506F9C" w:rsidRDefault="00A32B63" w:rsidP="00506F9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6F9C">
        <w:rPr>
          <w:rFonts w:ascii="Times New Roman" w:hAnsi="Times New Roman" w:cs="Times New Roman"/>
          <w:b/>
          <w:sz w:val="24"/>
          <w:szCs w:val="24"/>
        </w:rPr>
        <w:t>Занятие №1: «Современные методы обследования больных с заболеваниями системы крови.»</w:t>
      </w:r>
      <w:r w:rsidR="00290AE8" w:rsidRPr="00506F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4CFB" w:rsidRPr="00506F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A19E0B" w14:textId="77777777" w:rsidR="00A32B63" w:rsidRPr="00506F9C" w:rsidRDefault="00A32B63" w:rsidP="00506F9C">
      <w:pPr>
        <w:numPr>
          <w:ilvl w:val="0"/>
          <w:numId w:val="1"/>
        </w:numPr>
        <w:tabs>
          <w:tab w:val="num" w:pos="0"/>
        </w:tabs>
        <w:spacing w:after="0" w:line="240" w:lineRule="auto"/>
        <w:ind w:left="567" w:hanging="24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6F9C">
        <w:rPr>
          <w:rFonts w:ascii="Times New Roman" w:hAnsi="Times New Roman" w:cs="Times New Roman"/>
          <w:sz w:val="24"/>
          <w:szCs w:val="24"/>
        </w:rPr>
        <w:t>Кровь как внутренняя среда организма, функции крови.</w:t>
      </w:r>
    </w:p>
    <w:p w14:paraId="4838F891" w14:textId="77777777" w:rsidR="00A32B63" w:rsidRPr="00506F9C" w:rsidRDefault="00A32B63" w:rsidP="00506F9C">
      <w:pPr>
        <w:numPr>
          <w:ilvl w:val="0"/>
          <w:numId w:val="1"/>
        </w:numPr>
        <w:tabs>
          <w:tab w:val="num" w:pos="252"/>
        </w:tabs>
        <w:spacing w:after="0" w:line="240" w:lineRule="auto"/>
        <w:ind w:left="567" w:hanging="24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6F9C">
        <w:rPr>
          <w:rFonts w:ascii="Times New Roman" w:hAnsi="Times New Roman" w:cs="Times New Roman"/>
          <w:sz w:val="24"/>
          <w:szCs w:val="24"/>
        </w:rPr>
        <w:t xml:space="preserve">Современная теория гемопоэза (И.Л. Чертков, А.И. Воробьев), роль костного мозга в кроветворении. </w:t>
      </w:r>
    </w:p>
    <w:p w14:paraId="4CA4B428" w14:textId="77777777" w:rsidR="00A32B63" w:rsidRPr="00506F9C" w:rsidRDefault="00A32B63" w:rsidP="00506F9C">
      <w:pPr>
        <w:numPr>
          <w:ilvl w:val="0"/>
          <w:numId w:val="1"/>
        </w:numPr>
        <w:tabs>
          <w:tab w:val="num" w:pos="252"/>
        </w:tabs>
        <w:spacing w:after="0" w:line="240" w:lineRule="auto"/>
        <w:ind w:left="567" w:hanging="24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6F9C">
        <w:rPr>
          <w:rFonts w:ascii="Times New Roman" w:hAnsi="Times New Roman" w:cs="Times New Roman"/>
          <w:sz w:val="24"/>
          <w:szCs w:val="24"/>
        </w:rPr>
        <w:t>Методики определения и нормативы основных гематологических показателей. Определение количества эритроцитов, лейкоцитов, гемоглобина, цветового показателя ретикулоцитов, тромбоцитов, принципы оценки лейкоцитарной формулы крови, СОЭ.</w:t>
      </w:r>
    </w:p>
    <w:p w14:paraId="65A0486F" w14:textId="77777777" w:rsidR="00A32B63" w:rsidRPr="00506F9C" w:rsidRDefault="00A32B63" w:rsidP="00506F9C">
      <w:pPr>
        <w:pStyle w:val="a3"/>
        <w:numPr>
          <w:ilvl w:val="0"/>
          <w:numId w:val="1"/>
        </w:numPr>
        <w:tabs>
          <w:tab w:val="num" w:pos="360"/>
        </w:tabs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506F9C">
        <w:rPr>
          <w:rFonts w:ascii="Times New Roman" w:hAnsi="Times New Roman" w:cs="Times New Roman"/>
          <w:sz w:val="24"/>
          <w:szCs w:val="24"/>
        </w:rPr>
        <w:t>Методы диагностики заболеваний системы крови (субъективные, объективные, лабораторные, инструментальные).</w:t>
      </w:r>
    </w:p>
    <w:p w14:paraId="5107A55D" w14:textId="77777777" w:rsidR="00A32B63" w:rsidRPr="00506F9C" w:rsidRDefault="00A32B63" w:rsidP="00506F9C">
      <w:pPr>
        <w:pStyle w:val="a3"/>
        <w:numPr>
          <w:ilvl w:val="0"/>
          <w:numId w:val="1"/>
        </w:numPr>
        <w:tabs>
          <w:tab w:val="num" w:pos="360"/>
        </w:tabs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506F9C">
        <w:rPr>
          <w:rFonts w:ascii="Times New Roman" w:hAnsi="Times New Roman" w:cs="Times New Roman"/>
          <w:sz w:val="24"/>
          <w:szCs w:val="24"/>
        </w:rPr>
        <w:t xml:space="preserve">Понятие о пункции костного мозга. Представление о принципах анализа и нормативах </w:t>
      </w:r>
      <w:proofErr w:type="spellStart"/>
      <w:r w:rsidRPr="00506F9C">
        <w:rPr>
          <w:rFonts w:ascii="Times New Roman" w:hAnsi="Times New Roman" w:cs="Times New Roman"/>
          <w:sz w:val="24"/>
          <w:szCs w:val="24"/>
        </w:rPr>
        <w:t>миелограммы</w:t>
      </w:r>
      <w:proofErr w:type="spellEnd"/>
      <w:r w:rsidRPr="00506F9C">
        <w:rPr>
          <w:rFonts w:ascii="Times New Roman" w:hAnsi="Times New Roman" w:cs="Times New Roman"/>
          <w:sz w:val="24"/>
          <w:szCs w:val="24"/>
        </w:rPr>
        <w:t>.</w:t>
      </w:r>
    </w:p>
    <w:p w14:paraId="2D5FAEDD" w14:textId="77777777" w:rsidR="00A32B63" w:rsidRPr="00506F9C" w:rsidRDefault="00A32B63" w:rsidP="00506F9C">
      <w:pPr>
        <w:pStyle w:val="a3"/>
        <w:numPr>
          <w:ilvl w:val="0"/>
          <w:numId w:val="1"/>
        </w:numPr>
        <w:tabs>
          <w:tab w:val="num" w:pos="360"/>
        </w:tabs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506F9C">
        <w:rPr>
          <w:rFonts w:ascii="Times New Roman" w:hAnsi="Times New Roman" w:cs="Times New Roman"/>
          <w:sz w:val="24"/>
          <w:szCs w:val="24"/>
        </w:rPr>
        <w:t xml:space="preserve">Стандартная цитогенетика в метафазных пластинках. Роль цитогенетического метода исследовании в диагностике </w:t>
      </w:r>
      <w:proofErr w:type="spellStart"/>
      <w:r w:rsidRPr="00506F9C">
        <w:rPr>
          <w:rFonts w:ascii="Times New Roman" w:hAnsi="Times New Roman" w:cs="Times New Roman"/>
          <w:sz w:val="24"/>
          <w:szCs w:val="24"/>
        </w:rPr>
        <w:t>гемобластозов</w:t>
      </w:r>
      <w:proofErr w:type="spellEnd"/>
      <w:r w:rsidRPr="00506F9C">
        <w:rPr>
          <w:rFonts w:ascii="Times New Roman" w:hAnsi="Times New Roman" w:cs="Times New Roman"/>
          <w:sz w:val="24"/>
          <w:szCs w:val="24"/>
        </w:rPr>
        <w:t>. Хромосомные аберрации при хронических и острых лейкозах.</w:t>
      </w:r>
    </w:p>
    <w:p w14:paraId="4AC4121A" w14:textId="77777777" w:rsidR="00A32B63" w:rsidRPr="00506F9C" w:rsidRDefault="00A32B63" w:rsidP="00506F9C">
      <w:pPr>
        <w:pStyle w:val="a3"/>
        <w:numPr>
          <w:ilvl w:val="0"/>
          <w:numId w:val="1"/>
        </w:numPr>
        <w:tabs>
          <w:tab w:val="num" w:pos="360"/>
        </w:tabs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proofErr w:type="spellStart"/>
      <w:r w:rsidRPr="00506F9C">
        <w:rPr>
          <w:rFonts w:ascii="Times New Roman" w:hAnsi="Times New Roman" w:cs="Times New Roman"/>
          <w:sz w:val="24"/>
          <w:szCs w:val="24"/>
        </w:rPr>
        <w:t>Иммунофенотипирование</w:t>
      </w:r>
      <w:proofErr w:type="spellEnd"/>
      <w:r w:rsidRPr="00506F9C">
        <w:rPr>
          <w:rFonts w:ascii="Times New Roman" w:hAnsi="Times New Roman" w:cs="Times New Roman"/>
          <w:sz w:val="24"/>
          <w:szCs w:val="24"/>
        </w:rPr>
        <w:t xml:space="preserve"> методом проточной </w:t>
      </w:r>
      <w:proofErr w:type="spellStart"/>
      <w:r w:rsidRPr="00506F9C">
        <w:rPr>
          <w:rFonts w:ascii="Times New Roman" w:hAnsi="Times New Roman" w:cs="Times New Roman"/>
          <w:sz w:val="24"/>
          <w:szCs w:val="24"/>
        </w:rPr>
        <w:t>цитофлюориметрии</w:t>
      </w:r>
      <w:proofErr w:type="spellEnd"/>
      <w:r w:rsidRPr="00506F9C">
        <w:rPr>
          <w:rFonts w:ascii="Times New Roman" w:hAnsi="Times New Roman" w:cs="Times New Roman"/>
          <w:sz w:val="24"/>
          <w:szCs w:val="24"/>
        </w:rPr>
        <w:t xml:space="preserve">. Понятие о CD. Роль в дифференциальной диагностики </w:t>
      </w:r>
      <w:proofErr w:type="spellStart"/>
      <w:r w:rsidRPr="00506F9C">
        <w:rPr>
          <w:rFonts w:ascii="Times New Roman" w:hAnsi="Times New Roman" w:cs="Times New Roman"/>
          <w:sz w:val="24"/>
          <w:szCs w:val="24"/>
        </w:rPr>
        <w:t>неходжкинских</w:t>
      </w:r>
      <w:proofErr w:type="spellEnd"/>
      <w:r w:rsidRPr="00506F9C">
        <w:rPr>
          <w:rFonts w:ascii="Times New Roman" w:hAnsi="Times New Roman" w:cs="Times New Roman"/>
          <w:sz w:val="24"/>
          <w:szCs w:val="24"/>
        </w:rPr>
        <w:t xml:space="preserve"> лимфом.</w:t>
      </w:r>
    </w:p>
    <w:p w14:paraId="5EF743AA" w14:textId="77777777" w:rsidR="00A32B63" w:rsidRPr="00506F9C" w:rsidRDefault="00A32B63" w:rsidP="00506F9C">
      <w:pPr>
        <w:pStyle w:val="a3"/>
        <w:numPr>
          <w:ilvl w:val="0"/>
          <w:numId w:val="1"/>
        </w:numPr>
        <w:tabs>
          <w:tab w:val="num" w:pos="360"/>
        </w:tabs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506F9C">
        <w:rPr>
          <w:rFonts w:ascii="Times New Roman" w:hAnsi="Times New Roman" w:cs="Times New Roman"/>
          <w:sz w:val="24"/>
          <w:szCs w:val="24"/>
        </w:rPr>
        <w:t>Цитохимическое исследование, как метод дифференциальной диагностики острых лейкозов.</w:t>
      </w:r>
    </w:p>
    <w:p w14:paraId="4EEBB0E4" w14:textId="77777777" w:rsidR="00A32B63" w:rsidRPr="00506F9C" w:rsidRDefault="00A32B63" w:rsidP="00506F9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6F9C">
        <w:rPr>
          <w:rFonts w:ascii="Times New Roman" w:hAnsi="Times New Roman" w:cs="Times New Roman"/>
          <w:b/>
          <w:sz w:val="24"/>
          <w:szCs w:val="24"/>
        </w:rPr>
        <w:t xml:space="preserve">Занятие №2: «Симптоматология анемий: классификация, основные клинические синдромы.  Анемии: железодефицитная, </w:t>
      </w:r>
      <w:proofErr w:type="spellStart"/>
      <w:r w:rsidRPr="00506F9C">
        <w:rPr>
          <w:rFonts w:ascii="Times New Roman" w:hAnsi="Times New Roman" w:cs="Times New Roman"/>
          <w:b/>
          <w:sz w:val="24"/>
          <w:szCs w:val="24"/>
        </w:rPr>
        <w:t>мегалобластная</w:t>
      </w:r>
      <w:proofErr w:type="spellEnd"/>
      <w:r w:rsidRPr="00506F9C">
        <w:rPr>
          <w:rFonts w:ascii="Times New Roman" w:hAnsi="Times New Roman" w:cs="Times New Roman"/>
          <w:b/>
          <w:sz w:val="24"/>
          <w:szCs w:val="24"/>
        </w:rPr>
        <w:t>, гемолитическая. Этиология, патогенез, клинические проявления.»</w:t>
      </w:r>
    </w:p>
    <w:p w14:paraId="42EDF664" w14:textId="4F4B8705" w:rsidR="00A32B63" w:rsidRPr="00506F9C" w:rsidRDefault="00A32B63" w:rsidP="00506F9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Определение понятия «анемия»</w:t>
      </w:r>
      <w:r w:rsid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E1232D2" w14:textId="77777777" w:rsidR="00A32B63" w:rsidRPr="00506F9C" w:rsidRDefault="00A32B63" w:rsidP="00506F9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неспецифические и специфические клинико-гематологические признаки анемий. </w:t>
      </w:r>
    </w:p>
    <w:p w14:paraId="5B34699F" w14:textId="77777777" w:rsidR="00A32B63" w:rsidRPr="00506F9C" w:rsidRDefault="00A32B63" w:rsidP="00506F9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Этиопатогенетическая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классификация анемий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И.А.Кассирского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, Г.А..Алексеева.</w:t>
      </w:r>
    </w:p>
    <w:p w14:paraId="04C4CF9C" w14:textId="77777777" w:rsidR="00A32B63" w:rsidRPr="00506F9C" w:rsidRDefault="00A32B63" w:rsidP="00506F9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Классификация анемий по степени тяжести, с учетом морфологических критериев (MCH/MCHC, MCV), регенераторной активности костного мозга.</w:t>
      </w:r>
    </w:p>
    <w:p w14:paraId="0D5D34CB" w14:textId="77777777" w:rsidR="00A32B63" w:rsidRPr="00506F9C" w:rsidRDefault="00A32B63" w:rsidP="00506F9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этапы обмена железа.</w:t>
      </w:r>
    </w:p>
    <w:p w14:paraId="4BBF0E29" w14:textId="77777777" w:rsidR="00A32B63" w:rsidRPr="00506F9C" w:rsidRDefault="00A32B63" w:rsidP="00506F9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Сидеропенический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синдром: клинические проявления, причины возникновения.</w:t>
      </w:r>
    </w:p>
    <w:p w14:paraId="7B8F207E" w14:textId="77777777" w:rsidR="00A32B63" w:rsidRPr="00506F9C" w:rsidRDefault="00A32B63" w:rsidP="00506F9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Фуникулярный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миелоз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: клинические проявления, причины возникновения.</w:t>
      </w:r>
    </w:p>
    <w:p w14:paraId="3CDE8DAA" w14:textId="77777777" w:rsidR="00A32B63" w:rsidRPr="00506F9C" w:rsidRDefault="00A32B63" w:rsidP="00506F9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Клинико-лабораторные признаки внутриклеточного гемолиза. </w:t>
      </w:r>
    </w:p>
    <w:p w14:paraId="40ED9164" w14:textId="77777777" w:rsidR="00A32B63" w:rsidRPr="00506F9C" w:rsidRDefault="00A32B63" w:rsidP="00506F9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Клинико-лабораторные признаки внутрисосудистого гемолиза.</w:t>
      </w:r>
    </w:p>
    <w:p w14:paraId="74EF92F9" w14:textId="06B0578A" w:rsidR="00A32B63" w:rsidRDefault="00A32B63" w:rsidP="00506F9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Признаки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мегалобластного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типа кроветворения. Тельца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Жолли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кольца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Кебота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40378D7" w14:textId="3D4014B6" w:rsidR="00506F9C" w:rsidRPr="00506F9C" w:rsidRDefault="00DB2FF4" w:rsidP="00506F9C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B2FF4">
        <w:rPr>
          <w:rFonts w:ascii="Times New Roman" w:eastAsia="Times New Roman" w:hAnsi="Times New Roman" w:cs="Times New Roman"/>
          <w:color w:val="000000"/>
          <w:sz w:val="24"/>
          <w:szCs w:val="24"/>
        </w:rPr>
        <w:t>Физикальное</w:t>
      </w:r>
      <w:proofErr w:type="spellEnd"/>
      <w:r w:rsidRPr="00DB2F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обследование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пациентов</w:t>
      </w:r>
      <w:r w:rsidRPr="00DB2F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с анемическим синдромом.</w:t>
      </w:r>
    </w:p>
    <w:p w14:paraId="7C22B694" w14:textId="27DD5A1F" w:rsidR="00584CFB" w:rsidRPr="00506F9C" w:rsidRDefault="00584CFB" w:rsidP="00506F9C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Занятие №3: «Симптоматология острых и хронических лейкозов: кроветворение в норме и при </w:t>
      </w:r>
      <w:proofErr w:type="spellStart"/>
      <w:r w:rsidRPr="00506F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гемобластозах</w:t>
      </w:r>
      <w:proofErr w:type="spellEnd"/>
      <w:r w:rsidRPr="00506F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классификация, основные клинические синдромы.»</w:t>
      </w:r>
    </w:p>
    <w:p w14:paraId="5AC34B11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1. Лейкозы: определение понятия, принципы классификации.</w:t>
      </w:r>
    </w:p>
    <w:p w14:paraId="1123BC65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2.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Атипизм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лейкозов: морфологическая, цитохимическая, цитогенетическая и</w:t>
      </w:r>
    </w:p>
    <w:p w14:paraId="22FF33C7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иммунологическая характеристика опухолевого субстрата.</w:t>
      </w:r>
    </w:p>
    <w:p w14:paraId="33721EE7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Основные клинические и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параклинические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синдромы, характерные для лейкозов.</w:t>
      </w:r>
    </w:p>
    <w:p w14:paraId="3C1853F1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4. Гиперпластический синдром при остром лейкозе.</w:t>
      </w:r>
    </w:p>
    <w:p w14:paraId="0C591E18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Понятие о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нейролейкемии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1E43484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Особенности картины костного мозга и периферической крови при остром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миело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- и лимфобластном лейкозе.</w:t>
      </w:r>
    </w:p>
    <w:p w14:paraId="3ABF95D4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 Особенности картины костного мозга и периферической крови при хроническом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миело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- и лимфолейкозе.</w:t>
      </w:r>
    </w:p>
    <w:p w14:paraId="62E3B2BE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8. Роль цитохимического метода исследования в дифференциальной диагностике острых лейкозов.</w:t>
      </w:r>
    </w:p>
    <w:p w14:paraId="544CFCDD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9. Этиология лейкозов: роль вирусов, химических канцерогенов, ионизирующей радиации в их возникновении.</w:t>
      </w:r>
    </w:p>
    <w:p w14:paraId="288D7BF5" w14:textId="77777777" w:rsidR="00584CFB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10. Современная классификация лейкозов, согласно морфологическим, фенотипическим и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иммуногистохимическим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характеристикам. </w:t>
      </w:r>
    </w:p>
    <w:p w14:paraId="1DDD7992" w14:textId="0FCB7CA9" w:rsidR="00506F9C" w:rsidRPr="00506F9C" w:rsidRDefault="00506F9C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11.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Физи</w:t>
      </w:r>
      <w:r w:rsidR="00DB2FF4">
        <w:rPr>
          <w:rFonts w:ascii="Times New Roman" w:eastAsia="Times New Roman" w:hAnsi="Times New Roman" w:cs="Times New Roman"/>
          <w:color w:val="000000"/>
          <w:sz w:val="24"/>
          <w:szCs w:val="24"/>
        </w:rPr>
        <w:t>кальное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B2FF4">
        <w:rPr>
          <w:rFonts w:ascii="Times New Roman" w:eastAsia="Times New Roman" w:hAnsi="Times New Roman" w:cs="Times New Roman"/>
          <w:color w:val="000000"/>
          <w:sz w:val="24"/>
          <w:szCs w:val="24"/>
        </w:rPr>
        <w:t>обследование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B2FF4">
        <w:rPr>
          <w:rFonts w:ascii="Times New Roman" w:eastAsia="Times New Roman" w:hAnsi="Times New Roman" w:cs="Times New Roman"/>
          <w:color w:val="000000"/>
          <w:sz w:val="24"/>
          <w:szCs w:val="24"/>
        </w:rPr>
        <w:t>пациентов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лейкозами.</w:t>
      </w:r>
    </w:p>
    <w:p w14:paraId="56D93F64" w14:textId="77777777" w:rsidR="00584CFB" w:rsidRPr="00506F9C" w:rsidRDefault="00584CFB" w:rsidP="00506F9C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761D3EA" w14:textId="66A62E13" w:rsidR="00584CFB" w:rsidRPr="00506F9C" w:rsidRDefault="00584CFB" w:rsidP="00506F9C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Занятие №4: «Симптоматология геморрагических диатезов: нормальный гемостаз и его нарушения, классификация, основные клинические синдромы.»</w:t>
      </w:r>
    </w:p>
    <w:p w14:paraId="2F0BAA20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1. Понятие о системе гемостаза: определение, функции, основные компоненты системы гемостаза.</w:t>
      </w:r>
    </w:p>
    <w:p w14:paraId="6D8A599A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2. Морфофункциональная характеристика тромбоцитов в норме и при патологии.</w:t>
      </w:r>
    </w:p>
    <w:p w14:paraId="6F9C49D3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3. Современные представления об основных факторах, участвующих в поддержании агрегатного состояния крови.</w:t>
      </w:r>
    </w:p>
    <w:p w14:paraId="59C91E9C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Сосудисто-тромбоцитарный гемостаз (роль сосудистой стенки, форменных элементов крови в регуляции свертывания и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фибринолиза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14:paraId="13A8235C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Коагуляционный гемостаз (роль плазменных факторов в регуляции свертывания и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фибринолиза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, фазы тромбообразования).</w:t>
      </w:r>
    </w:p>
    <w:p w14:paraId="34614E59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Современные представления о процессе свертывания крови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vivo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4078294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7. Методы исследования системы гемостаза.</w:t>
      </w:r>
    </w:p>
    <w:p w14:paraId="7F291DDC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8. Локальные тесты: понятие о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протромбиновом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времени (ПВ), ПТИ, МНО, активированном частичном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тромбопластиновом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времени (АЧТВ),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тромбиновом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времени (ТВ), Д-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димере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растворимых фибрин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мономерных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комплексах (РФМК).</w:t>
      </w:r>
    </w:p>
    <w:p w14:paraId="676B86AB" w14:textId="77777777" w:rsidR="00584CFB" w:rsidRPr="00506F9C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9. Глобальные тесты: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тромбоэластография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тромбодинамика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03A415D" w14:textId="77777777" w:rsidR="00584CFB" w:rsidRDefault="00584CFB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10. Типы кровоточивости по З.С. </w:t>
      </w:r>
      <w:proofErr w:type="spellStart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Баркагану</w:t>
      </w:r>
      <w:proofErr w:type="spellEnd"/>
      <w:r w:rsidRPr="00506F9C">
        <w:rPr>
          <w:rFonts w:ascii="Times New Roman" w:eastAsia="Times New Roman" w:hAnsi="Times New Roman" w:cs="Times New Roman"/>
          <w:color w:val="000000"/>
          <w:sz w:val="24"/>
          <w:szCs w:val="24"/>
        </w:rPr>
        <w:t>: клиническая характеристика типа кровоточивости, причины возникновения и механизмы развития.</w:t>
      </w:r>
    </w:p>
    <w:p w14:paraId="4EB335C9" w14:textId="08CCC516" w:rsidR="00DB2FF4" w:rsidRPr="00506F9C" w:rsidRDefault="00DB2FF4" w:rsidP="00506F9C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11. </w:t>
      </w:r>
      <w:proofErr w:type="spellStart"/>
      <w:r w:rsidRPr="00DB2FF4">
        <w:rPr>
          <w:rFonts w:ascii="Times New Roman" w:eastAsia="Times New Roman" w:hAnsi="Times New Roman" w:cs="Times New Roman"/>
          <w:color w:val="000000"/>
          <w:sz w:val="24"/>
          <w:szCs w:val="24"/>
        </w:rPr>
        <w:t>Физикальное</w:t>
      </w:r>
      <w:proofErr w:type="spellEnd"/>
      <w:r w:rsidRPr="00DB2F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обследование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пациентов</w:t>
      </w:r>
      <w:r w:rsidRPr="00DB2F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геморрагическими диатезами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861876F" w14:textId="77777777" w:rsidR="00584CFB" w:rsidRPr="00506F9C" w:rsidRDefault="00584CFB" w:rsidP="00506F9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AB69AA" w14:textId="77777777" w:rsidR="00C9619F" w:rsidRPr="00506F9C" w:rsidRDefault="00C9619F" w:rsidP="00506F9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F9C">
        <w:rPr>
          <w:rFonts w:ascii="Times New Roman" w:hAnsi="Times New Roman" w:cs="Times New Roman"/>
          <w:b/>
          <w:sz w:val="24"/>
          <w:szCs w:val="24"/>
        </w:rPr>
        <w:t>Список литературы для подготовки к занятиям</w:t>
      </w:r>
    </w:p>
    <w:p w14:paraId="1CD1B151" w14:textId="41EA169D" w:rsidR="00DB2FF4" w:rsidRPr="00DB2FF4" w:rsidRDefault="00C9619F" w:rsidP="00DB2F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06F9C">
        <w:rPr>
          <w:rFonts w:ascii="Times New Roman" w:hAnsi="Times New Roman" w:cs="Times New Roman"/>
          <w:sz w:val="24"/>
          <w:szCs w:val="24"/>
        </w:rPr>
        <w:t>1</w:t>
      </w:r>
      <w:r w:rsidR="00DB2FF4">
        <w:rPr>
          <w:rFonts w:ascii="Times New Roman" w:hAnsi="Times New Roman" w:cs="Times New Roman"/>
          <w:sz w:val="24"/>
          <w:szCs w:val="24"/>
        </w:rPr>
        <w:t>.</w:t>
      </w:r>
      <w:r w:rsidR="00DB2FF4" w:rsidRPr="00DB2FF4">
        <w:rPr>
          <w:rFonts w:ascii="Times New Roman" w:hAnsi="Times New Roman" w:cs="Times New Roman"/>
          <w:sz w:val="24"/>
          <w:szCs w:val="24"/>
        </w:rPr>
        <w:t xml:space="preserve"> </w:t>
      </w:r>
      <w:r w:rsidR="00DB2FF4" w:rsidRPr="00DB2FF4">
        <w:rPr>
          <w:rFonts w:ascii="Times New Roman" w:hAnsi="Times New Roman" w:cs="Times New Roman"/>
          <w:sz w:val="24"/>
          <w:szCs w:val="24"/>
        </w:rPr>
        <w:t>Учебное пособие</w:t>
      </w:r>
      <w:r w:rsidR="00DB2FF4" w:rsidRPr="00DB2FF4">
        <w:rPr>
          <w:rFonts w:ascii="Times New Roman" w:hAnsi="Times New Roman" w:cs="Times New Roman"/>
          <w:sz w:val="24"/>
          <w:szCs w:val="24"/>
        </w:rPr>
        <w:t xml:space="preserve"> </w:t>
      </w:r>
      <w:r w:rsidR="00DB2FF4">
        <w:rPr>
          <w:rFonts w:ascii="Times New Roman" w:hAnsi="Times New Roman" w:cs="Times New Roman"/>
          <w:sz w:val="24"/>
          <w:szCs w:val="24"/>
        </w:rPr>
        <w:t>«</w:t>
      </w:r>
      <w:r w:rsidR="00DB2FF4" w:rsidRPr="00DB2FF4">
        <w:rPr>
          <w:rFonts w:ascii="Times New Roman" w:hAnsi="Times New Roman" w:cs="Times New Roman"/>
          <w:sz w:val="24"/>
          <w:szCs w:val="24"/>
        </w:rPr>
        <w:t>О</w:t>
      </w:r>
      <w:r w:rsidR="00DB2FF4" w:rsidRPr="00DB2FF4">
        <w:rPr>
          <w:rFonts w:ascii="Times New Roman" w:hAnsi="Times New Roman" w:cs="Times New Roman"/>
          <w:sz w:val="24"/>
          <w:szCs w:val="24"/>
        </w:rPr>
        <w:t>сновы клинической</w:t>
      </w:r>
      <w:r w:rsidR="00DB2FF4">
        <w:rPr>
          <w:rFonts w:ascii="Times New Roman" w:hAnsi="Times New Roman" w:cs="Times New Roman"/>
          <w:sz w:val="24"/>
          <w:szCs w:val="24"/>
        </w:rPr>
        <w:t xml:space="preserve"> </w:t>
      </w:r>
      <w:r w:rsidR="00DB2FF4" w:rsidRPr="00DB2FF4">
        <w:rPr>
          <w:rFonts w:ascii="Times New Roman" w:hAnsi="Times New Roman" w:cs="Times New Roman"/>
          <w:sz w:val="24"/>
          <w:szCs w:val="24"/>
        </w:rPr>
        <w:t>гематологии</w:t>
      </w:r>
      <w:r w:rsidR="00DB2FF4">
        <w:rPr>
          <w:rFonts w:ascii="Times New Roman" w:hAnsi="Times New Roman" w:cs="Times New Roman"/>
          <w:sz w:val="24"/>
          <w:szCs w:val="24"/>
        </w:rPr>
        <w:t xml:space="preserve">» </w:t>
      </w:r>
      <w:r w:rsidR="00DB2FF4" w:rsidRPr="00DB2FF4">
        <w:rPr>
          <w:rFonts w:ascii="Times New Roman" w:hAnsi="Times New Roman" w:cs="Times New Roman"/>
          <w:sz w:val="24"/>
          <w:szCs w:val="24"/>
        </w:rPr>
        <w:t>С.А. Волкова, Н.Н. Боровков</w:t>
      </w:r>
      <w:r w:rsidR="00DB2FF4">
        <w:rPr>
          <w:rFonts w:ascii="Times New Roman" w:hAnsi="Times New Roman" w:cs="Times New Roman"/>
          <w:sz w:val="24"/>
          <w:szCs w:val="24"/>
        </w:rPr>
        <w:t xml:space="preserve">, ссылка на </w:t>
      </w:r>
      <w:r w:rsidR="00DB2FF4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="00DB2FF4" w:rsidRPr="00DB2FF4">
        <w:rPr>
          <w:rFonts w:ascii="Times New Roman" w:hAnsi="Times New Roman" w:cs="Times New Roman"/>
          <w:sz w:val="24"/>
          <w:szCs w:val="24"/>
        </w:rPr>
        <w:t xml:space="preserve"> </w:t>
      </w:r>
      <w:r w:rsidR="00DB2FF4">
        <w:rPr>
          <w:rFonts w:ascii="Times New Roman" w:hAnsi="Times New Roman" w:cs="Times New Roman"/>
          <w:sz w:val="24"/>
          <w:szCs w:val="24"/>
        </w:rPr>
        <w:t xml:space="preserve">файл: </w:t>
      </w:r>
      <w:r w:rsidR="00DB2FF4" w:rsidRPr="00DB2FF4">
        <w:rPr>
          <w:rFonts w:ascii="Times New Roman" w:hAnsi="Times New Roman" w:cs="Times New Roman"/>
          <w:sz w:val="24"/>
          <w:szCs w:val="24"/>
        </w:rPr>
        <w:t>https://jasulib.org.kg/wp-content/uploads/2022/10/11.-Волкова-С.А.-Основы-клинической-гематологии-учебное-пособие.pdf</w:t>
      </w:r>
    </w:p>
    <w:p w14:paraId="050149B2" w14:textId="5A199C35" w:rsidR="00C9619F" w:rsidRPr="00506F9C" w:rsidRDefault="00DB2FF4" w:rsidP="00506F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9619F" w:rsidRPr="00506F9C">
        <w:rPr>
          <w:rFonts w:ascii="Times New Roman" w:hAnsi="Times New Roman" w:cs="Times New Roman"/>
          <w:sz w:val="24"/>
          <w:szCs w:val="24"/>
        </w:rPr>
        <w:t>Гематология: национальное руководство [Электронный ресурс] / под ред. О. А. Рукавицына - М.: ГЭОТАР-Медиа, 2017. - http://www.rosmedlib.ru/book/ISBN9785970441992.html</w:t>
      </w:r>
    </w:p>
    <w:p w14:paraId="555A004C" w14:textId="77777777" w:rsidR="00C9619F" w:rsidRPr="00506F9C" w:rsidRDefault="00C9619F" w:rsidP="00506F9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C9619F" w:rsidRPr="00506F9C" w:rsidSect="00437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576B6"/>
    <w:multiLevelType w:val="hybridMultilevel"/>
    <w:tmpl w:val="11C64C96"/>
    <w:lvl w:ilvl="0" w:tplc="94725FF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1" w15:restartNumberingAfterBreak="0">
    <w:nsid w:val="248F468A"/>
    <w:multiLevelType w:val="hybridMultilevel"/>
    <w:tmpl w:val="C98C88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2B1810"/>
    <w:multiLevelType w:val="hybridMultilevel"/>
    <w:tmpl w:val="0E505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F2534"/>
    <w:multiLevelType w:val="hybridMultilevel"/>
    <w:tmpl w:val="C64AA4F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F9E6489"/>
    <w:multiLevelType w:val="hybridMultilevel"/>
    <w:tmpl w:val="2AEC0A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19874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5183640">
    <w:abstractNumId w:val="2"/>
  </w:num>
  <w:num w:numId="3" w16cid:durableId="704015132">
    <w:abstractNumId w:val="1"/>
  </w:num>
  <w:num w:numId="4" w16cid:durableId="1318000295">
    <w:abstractNumId w:val="4"/>
  </w:num>
  <w:num w:numId="5" w16cid:durableId="567695039">
    <w:abstractNumId w:val="0"/>
  </w:num>
  <w:num w:numId="6" w16cid:durableId="6813990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B63"/>
    <w:rsid w:val="00290AE8"/>
    <w:rsid w:val="003D46BF"/>
    <w:rsid w:val="0043794A"/>
    <w:rsid w:val="00506F9C"/>
    <w:rsid w:val="00584CFB"/>
    <w:rsid w:val="005F4AF8"/>
    <w:rsid w:val="00650B3D"/>
    <w:rsid w:val="0067618B"/>
    <w:rsid w:val="006B1497"/>
    <w:rsid w:val="00A32B63"/>
    <w:rsid w:val="00C9619F"/>
    <w:rsid w:val="00DB2FF4"/>
    <w:rsid w:val="00DF6532"/>
    <w:rsid w:val="00F53EA8"/>
    <w:rsid w:val="00F6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48752"/>
  <w15:docId w15:val="{75668ACC-3F21-431A-9AEB-9D33347C9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794A"/>
  </w:style>
  <w:style w:type="paragraph" w:styleId="2">
    <w:name w:val="heading 2"/>
    <w:basedOn w:val="a"/>
    <w:link w:val="20"/>
    <w:uiPriority w:val="1"/>
    <w:qFormat/>
    <w:rsid w:val="00C9619F"/>
    <w:pPr>
      <w:widowControl w:val="0"/>
      <w:spacing w:after="0" w:line="240" w:lineRule="auto"/>
      <w:ind w:left="46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B63"/>
    <w:pPr>
      <w:ind w:left="720"/>
      <w:contextualSpacing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C9619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a4">
    <w:name w:val="Hyperlink"/>
    <w:uiPriority w:val="99"/>
    <w:unhideWhenUsed/>
    <w:rsid w:val="00C961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1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mishenin1</dc:creator>
  <cp:keywords/>
  <dc:description/>
  <cp:lastModifiedBy>Войтко Мария Сергеевна</cp:lastModifiedBy>
  <cp:revision>2</cp:revision>
  <dcterms:created xsi:type="dcterms:W3CDTF">2024-01-26T09:56:00Z</dcterms:created>
  <dcterms:modified xsi:type="dcterms:W3CDTF">2024-01-26T09:56:00Z</dcterms:modified>
</cp:coreProperties>
</file>