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4D" w:rsidRPr="005F234F" w:rsidRDefault="002E4785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занятиям по циклу: «Гематология, трансфузиология</w:t>
      </w:r>
      <w:r w:rsidR="005F234F" w:rsidRPr="005F234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D6E82" w:rsidRPr="005F234F" w:rsidRDefault="009D6E82" w:rsidP="00B94F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</w:rPr>
        <w:t>6 курс</w:t>
      </w:r>
    </w:p>
    <w:p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  <w:u w:val="single"/>
        </w:rPr>
        <w:t>Гематология</w:t>
      </w:r>
    </w:p>
    <w:p w:rsidR="009D6E82" w:rsidRPr="00122F5E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№1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Дифференциальный диагноз анемических состояний (гипохромные, эритропоэтин-зависимые, анемии хронических заболеваний, мегалобластные, гемолитические)</w:t>
      </w:r>
      <w:proofErr w:type="gram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  <w:tab w:val="num" w:pos="1843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Анемии. Общие сведения (понятие, классификация, неспецифические и специфические клинико-лабораторные проявления).</w:t>
      </w:r>
    </w:p>
    <w:p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Гипохрмные анемии. Дифференциальный диагноз гипохромных анемий. </w:t>
      </w:r>
      <w:r w:rsidRPr="00E72FE1">
        <w:rPr>
          <w:rFonts w:ascii="Times New Roman" w:eastAsia="Calibri" w:hAnsi="Times New Roman" w:cs="Times New Roman"/>
          <w:sz w:val="24"/>
          <w:szCs w:val="24"/>
        </w:rPr>
        <w:t>Железодефицитная анемия. Этиология, патогенез, клинико-гематологическая картина, лабораторная диагностика.</w:t>
      </w:r>
    </w:p>
    <w:p w:rsidR="00122F5E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Современные подходы к терапии ЖДА. Критерии эффективности терапии. Препараты железа.</w:t>
      </w:r>
    </w:p>
    <w:p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hAnsi="Times New Roman"/>
          <w:sz w:val="24"/>
        </w:rPr>
        <w:t>Понятие о врожденных и приобретенных гемолитических анемиях, классификация.</w:t>
      </w:r>
    </w:p>
    <w:p w:rsidR="00122F5E" w:rsidRPr="00E72FE1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FE1">
        <w:rPr>
          <w:rFonts w:ascii="Times New Roman" w:hAnsi="Times New Roman"/>
          <w:sz w:val="24"/>
        </w:rPr>
        <w:t>Определение наследственной микросфероцитарной гемолитической анемии Минковского-Шоффара, клинические синдромы и параклинические аспекты диагностики.</w:t>
      </w:r>
    </w:p>
    <w:p w:rsidR="00122F5E" w:rsidRDefault="00122F5E" w:rsidP="00122F5E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3424F0">
        <w:rPr>
          <w:rFonts w:ascii="Times New Roman" w:hAnsi="Times New Roman"/>
          <w:sz w:val="24"/>
        </w:rPr>
        <w:t>Дифференциальная диагностика и принципы оказания первой медицинской помощи при гемолитическом кризе; показания к спленэктомии</w:t>
      </w:r>
      <w:r>
        <w:rPr>
          <w:rFonts w:ascii="Times New Roman" w:hAnsi="Times New Roman"/>
          <w:sz w:val="24"/>
        </w:rPr>
        <w:t>.</w:t>
      </w:r>
    </w:p>
    <w:p w:rsidR="00122F5E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hAnsi="Times New Roman"/>
          <w:sz w:val="24"/>
        </w:rPr>
        <w:t>Приобретенные гемолитические анемии. Этиология, классификация патогенез, клинико-гематологическая картина, лабораторная диагностика.</w:t>
      </w:r>
    </w:p>
    <w:p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>В12 - , фолиеводефицитная анемии. Этиология, патогенез, клинико-гематологическая картина, лабораторная диагностика. Фуникулярныймиелоз: характерные признаки и механизм возникновения.</w:t>
      </w:r>
    </w:p>
    <w:p w:rsidR="00122F5E" w:rsidRPr="00E72FE1" w:rsidRDefault="00122F5E" w:rsidP="00122F5E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E72FE1">
        <w:rPr>
          <w:rFonts w:ascii="Times New Roman" w:eastAsia="Calibri" w:hAnsi="Times New Roman" w:cs="Times New Roman"/>
          <w:sz w:val="24"/>
          <w:szCs w:val="24"/>
        </w:rPr>
        <w:t xml:space="preserve">Современные подходы к терапии В12 -, фолиеводефицитная анемии. Критерии эффективности терапии. </w:t>
      </w:r>
    </w:p>
    <w:p w:rsidR="00122F5E" w:rsidRDefault="00122F5E" w:rsidP="009D6E82">
      <w:pPr>
        <w:pStyle w:val="a3"/>
        <w:numPr>
          <w:ilvl w:val="0"/>
          <w:numId w:val="1"/>
        </w:numPr>
        <w:tabs>
          <w:tab w:val="clear" w:pos="2160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Анемия хронических заболеваний. Этиология, патогенез, клинико-гематологическая картина, лабораторная диагностика. Подходы к терапии.</w:t>
      </w:r>
    </w:p>
    <w:p w:rsidR="00122F5E" w:rsidRPr="00122F5E" w:rsidRDefault="00122F5E" w:rsidP="00122F5E">
      <w:pPr>
        <w:pStyle w:val="a3"/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</w:p>
    <w:p w:rsidR="009D6E82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№2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лимфопролиферативного синдрома (лимфоаденопатии, спленомегалии, лейкемоидные реакции 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лимфоцитарного типа). Алгоритм диагностики и подходы к терапии лимфомы Ходжкина и неходжкинских лимфом.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>1.  Понятие о лимфопролиферативном синдроме. Клиническая картина лимфопролиферативного синдрома. Дифференциальный диагноз лимфаденопатий, спленомегалии.</w:t>
      </w:r>
    </w:p>
    <w:p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>2.  Лейкемоидные реакции лимфоцитарного типа.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Times New Roman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Роль цитогенетических и иммуноцитохимических методов исследования в диагностике и стратификации риска для пациентов с лимфопролиферативным заболеванием.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Классификация лимфом, ВОЗ 2016г.</w:t>
      </w:r>
    </w:p>
    <w:p w:rsidR="00122F5E" w:rsidRPr="00CF4A6C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В-клеточные лимфомы: определение,  этиология, патогенез, клинические проявления, диагностика, подходы к лечению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лассификация лимфом по AnnArbor.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Лимфома Ходжкина: </w:t>
      </w:r>
      <w:r>
        <w:rPr>
          <w:rFonts w:ascii="Times New Roman" w:eastAsia="Calibri" w:hAnsi="Times New Roman" w:cs="Times New Roman"/>
          <w:sz w:val="24"/>
          <w:szCs w:val="24"/>
        </w:rPr>
        <w:t>определение, эпидемиология, этиология, патогенез, клинические проявления. Гистологические варианты лимфомы Ходжкина.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 Возможности современной терапии лимфомы Ходжкина. Таргетные препараты нового поколения: брентуксимабведотин, пембролизумаб, ниволумаб. Принцип действия.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Неходжкинские лимфомы: фолликулярная лимфома, Диффузная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В-крупноклеточная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лимфома, мантийно-клеточная лифмома,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MALT</w:t>
      </w:r>
      <w:r>
        <w:rPr>
          <w:rFonts w:ascii="Times New Roman" w:eastAsia="Calibri" w:hAnsi="Times New Roman" w:cs="Times New Roman"/>
          <w:sz w:val="24"/>
          <w:szCs w:val="24"/>
        </w:rPr>
        <w:t>-лимфома. Этиология, патогенез, лабораторно-инструментальная диагностика, подходы к терапии (схемы ПХТ, таргетная терапия).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 Хронический лимфолейкоз (ХЛЛ): определение, эпидемиология, этиология, патогенез, клинические проявления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ритерии диагноза ХЛЛ.Стадии хронического лимфолейкоза по классификации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Binet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Rai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22F5E" w:rsidRP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10. Современные подходы к терапии пациентов с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хроническим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лимфолейкозом. Терапевтическая тактика в зависимости от возраста пациента и сопутствующего соматического фона.</w:t>
      </w:r>
    </w:p>
    <w:p w:rsidR="009D6E82" w:rsidRDefault="009D6E82" w:rsidP="0012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№3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Дифференциальный диагноз парапротеинемий (понятие моноклональныхгаммапатий, критерии диагноза, алгоритм диагностики и современные подходы к терапии </w:t>
      </w:r>
      <w:proofErr w:type="gram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парапротеинемических</w:t>
      </w:r>
      <w:proofErr w:type="gramEnd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гемобластозов: множественной миеломы и болезни Вальденстрема).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Понятие о </w:t>
      </w:r>
      <w:r>
        <w:rPr>
          <w:rFonts w:ascii="Times New Roman" w:eastAsia="Calibri" w:hAnsi="Times New Roman" w:cs="Times New Roman"/>
          <w:sz w:val="24"/>
          <w:szCs w:val="24"/>
        </w:rPr>
        <w:t>моноклональных гаммопатиях: определение, классификация, этиология, патогенез.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Критерии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доброкачественной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моноклональной гаммопатии.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Методы диагностики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парапротеинемических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гемобластозов.</w:t>
      </w:r>
    </w:p>
    <w:p w:rsidR="00122F5E" w:rsidRPr="003C1EF6" w:rsidRDefault="00122F5E" w:rsidP="00122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Множественная миелома: этиология, патогенез, клинические проявления, диагностика.</w:t>
      </w:r>
    </w:p>
    <w:p w:rsidR="00122F5E" w:rsidRDefault="00122F5E" w:rsidP="00122F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Понятие о белке Бенс-Джонса, М-градиенте.</w:t>
      </w:r>
    </w:p>
    <w:p w:rsidR="00122F5E" w:rsidRPr="003C1EF6" w:rsidRDefault="00122F5E" w:rsidP="00122F5E">
      <w:r>
        <w:rPr>
          <w:rFonts w:ascii="Times New Roman" w:eastAsia="Calibri" w:hAnsi="Times New Roman" w:cs="Times New Roman"/>
          <w:sz w:val="24"/>
          <w:szCs w:val="24"/>
        </w:rPr>
        <w:t xml:space="preserve">6. Классификация множественной миеломы по </w:t>
      </w:r>
      <w:r w:rsidRPr="00FF7AFC">
        <w:rPr>
          <w:rFonts w:ascii="Times New Roman" w:eastAsia="Calibri" w:hAnsi="Times New Roman" w:cs="Times New Roman"/>
          <w:sz w:val="24"/>
          <w:szCs w:val="24"/>
        </w:rPr>
        <w:t>DurieandSalmon, ISS.</w:t>
      </w:r>
    </w:p>
    <w:p w:rsidR="00122F5E" w:rsidRPr="003C1EF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7. Подходы к терапии множественной миеломы. Лечение рецидивирующих и рефрактерных форм </w:t>
      </w:r>
      <w:proofErr w:type="gramStart"/>
      <w:r w:rsidRPr="00FF7AFC">
        <w:rPr>
          <w:rFonts w:ascii="Times New Roman" w:eastAsia="Calibri" w:hAnsi="Times New Roman" w:cs="Times New Roman"/>
          <w:sz w:val="24"/>
          <w:szCs w:val="24"/>
        </w:rPr>
        <w:t>ММ</w:t>
      </w:r>
      <w:proofErr w:type="gramEnd"/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8. </w:t>
      </w: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МакроглобулинемияВаледенстрема: </w:t>
      </w:r>
      <w:r>
        <w:rPr>
          <w:rFonts w:ascii="Times New Roman" w:eastAsia="Calibri" w:hAnsi="Times New Roman" w:cs="Times New Roman"/>
          <w:sz w:val="24"/>
          <w:szCs w:val="24"/>
        </w:rPr>
        <w:t>этиология, патогенез, клинические проявления, диагностика.</w:t>
      </w:r>
    </w:p>
    <w:p w:rsidR="00122F5E" w:rsidRPr="00122F5E" w:rsidRDefault="00122F5E" w:rsidP="00122F5E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9. Критерии диагноза, терапевтическая тактика.</w:t>
      </w:r>
    </w:p>
    <w:p w:rsidR="009D6E82" w:rsidRDefault="009D6E82" w:rsidP="00122F5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№4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Дифференциальный диагноз миелопролиферативного синдрома (лейкемоидные реакции миелоидного типа,  вторичные эритроцитозы, вторичные тромбоцитозы). Критерии диагноза, дифференциальная диагностика и современные подходы к терапии хронических миелопролиферативных заболеваний</w:t>
      </w:r>
      <w:proofErr w:type="gram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.»</w:t>
      </w:r>
      <w:proofErr w:type="gramEnd"/>
    </w:p>
    <w:p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 Понятие о </w:t>
      </w:r>
      <w:r>
        <w:rPr>
          <w:rFonts w:ascii="Times New Roman" w:eastAsia="Calibri" w:hAnsi="Times New Roman" w:cs="Times New Roman"/>
          <w:sz w:val="24"/>
          <w:szCs w:val="24"/>
        </w:rPr>
        <w:t>миел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опролиферативном синдроме. Клиническая картина </w:t>
      </w:r>
      <w:r>
        <w:rPr>
          <w:rFonts w:ascii="Times New Roman" w:eastAsia="Calibri" w:hAnsi="Times New Roman" w:cs="Times New Roman"/>
          <w:sz w:val="24"/>
          <w:szCs w:val="24"/>
        </w:rPr>
        <w:t>миело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пролиферативного синдрома. </w:t>
      </w:r>
    </w:p>
    <w:p w:rsidR="00122F5E" w:rsidRPr="00724B46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2.  Лейкемоидные реакции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миелоидного </w:t>
      </w:r>
      <w:r w:rsidRPr="00724B46">
        <w:rPr>
          <w:rFonts w:ascii="Times New Roman" w:eastAsia="Calibri" w:hAnsi="Times New Roman" w:cs="Times New Roman"/>
          <w:sz w:val="24"/>
          <w:szCs w:val="24"/>
        </w:rPr>
        <w:t>типа.</w:t>
      </w:r>
    </w:p>
    <w:p w:rsidR="00122F5E" w:rsidRDefault="00122F5E" w:rsidP="00122F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Times New Roman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Роль цитогенетических и молекулярно-биологических методов исследования в диагностике и стратификации риска для пациентов с миелопролиферативным заболеванием.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Хронический миелолейкоз:  определение,  этиология, патогенез, клинические проявления, диагностика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тадии (фазы) хронического миелолейкоза: клинико-гематологическая характеристика, критерии диагноза, согласно ВОЗ/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ELN</w:t>
      </w:r>
      <w:r w:rsidRPr="00724B4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Понятие о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Ph</w:t>
      </w:r>
      <w:r>
        <w:rPr>
          <w:rFonts w:ascii="Times New Roman" w:eastAsia="Calibri" w:hAnsi="Times New Roman" w:cs="Times New Roman"/>
          <w:sz w:val="24"/>
          <w:szCs w:val="24"/>
        </w:rPr>
        <w:t>-хромосоме.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Современные подходы к терапии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хронического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миелолейкоза: таргетная терапия ингибиторами тирозинкиназы.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 . Истинная полицитемия: определение,  этиология, патогенез. Большие и малые критерии истиной полицитемии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овременные подходы к диагностике и комплексная терапия истинной полицитемии.  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Дифференциальный диагноз истинной полицитемии и вторичных эритроцитозов. 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 Первичный миелофиброз: определение, этиология, патогенез. Критерии диагноза. Методы диагностики, принцип лечения.</w:t>
      </w:r>
    </w:p>
    <w:p w:rsid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 Эссенциальная тромбоцитемия: определение, этиология, патогенез. Критерии диагноза. Методы диагностики, принцип лечения. Дифференциальный диагноз с вторичными тромбоцитозами.</w:t>
      </w:r>
    </w:p>
    <w:p w:rsidR="00122F5E" w:rsidRPr="00122F5E" w:rsidRDefault="00122F5E" w:rsidP="00122F5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lastRenderedPageBreak/>
        <w:t>Занятие №5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Дифференциальная диагностика геморрагического синдрома. Критерии диагноза геморрагических диатезов и современные  стандарты лечения</w:t>
      </w:r>
      <w:proofErr w:type="gram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Геморрагические диатез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ы: определение понятия</w:t>
      </w:r>
      <w:proofErr w:type="gram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.Т</w:t>
      </w:r>
      <w:proofErr w:type="gram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ипы кровоточивости по З.С. Баркагану: клиническая характеристика каждого типа кровоточивости, причины возникновения и механизмы развития. </w:t>
      </w:r>
    </w:p>
    <w:p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Тромбоцитопении.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Классификация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Этиология, патогенез, основные проявления, принципы диагностики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лечение</w:t>
      </w:r>
      <w:proofErr w:type="gram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.М</w:t>
      </w:r>
      <w:proofErr w:type="gram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еханизмы развития иммунных форм тромбоцитопений, связанных с повышенным разрушением тромбоцитов.</w:t>
      </w:r>
    </w:p>
    <w:p w:rsidR="00122F5E" w:rsidRPr="00804A79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ромбоцитопатии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Классификация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Этиология, патогенез, основные проявления, принципы диагностики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лечение</w:t>
      </w:r>
      <w:proofErr w:type="gramStart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.И</w:t>
      </w:r>
      <w:proofErr w:type="gram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зменения в молекулярной структуре тромбоцитов, лежащие в основе развития наследственных форм тромбоцитопатий.</w:t>
      </w:r>
    </w:p>
    <w:p w:rsidR="00122F5E" w:rsidRPr="00A15BE2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Коагулопатии. Виды. Этиология, патогенез, основные проявления, принципы диагностики. Гемофилия</w:t>
      </w:r>
      <w:proofErr w:type="gramStart"/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proofErr w:type="gram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В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 этио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логия, </w:t>
      </w:r>
      <w:r w:rsidRPr="00804A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патогенез, клинические и лабораторные проявления.</w:t>
      </w:r>
    </w:p>
    <w:p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Современные подходы к терапии пациентов с гемофилией. </w:t>
      </w:r>
    </w:p>
    <w:p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Геморрагическая телеангиэктазия (болезнь Рондю-Ослера)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Б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олезнь (геморрагический васкулит) Шенлейна-Геноха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</w:t>
      </w:r>
      <w:proofErr w:type="gramEnd"/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Болезнь Виллебранда: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современные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ДВС-синдром: 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этиология, патогенез, клинико-лабораторная картина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современные подходы к терапии</w:t>
      </w:r>
      <w:r w:rsidRPr="00A15B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22F5E" w:rsidRPr="00122F5E" w:rsidRDefault="00122F5E" w:rsidP="00122F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 Интегральные методы диагностики системы гемостаза: тромбодинамика, тромбоэластометрия, тест генерации тромбина.</w:t>
      </w:r>
    </w:p>
    <w:p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№6</w:t>
      </w:r>
      <w:r w:rsidR="00122F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2F5E" w:rsidRPr="00994C86">
        <w:rPr>
          <w:rFonts w:ascii="Times New Roman" w:hAnsi="Times New Roman" w:cs="Times New Roman"/>
          <w:b/>
          <w:sz w:val="28"/>
          <w:szCs w:val="28"/>
        </w:rPr>
        <w:t>«</w:t>
      </w:r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>Апластические состояния кроветворения: лейкопении, апластическая анемия.  Миелодиспластический синдром, этиология, патогенез, клиника, дифференциальная диагностика, подходы к терапии. Зачетное занятие. Защита эпикризов</w:t>
      </w:r>
      <w:proofErr w:type="gramStart"/>
      <w:r w:rsidR="00994C86" w:rsidRPr="00994C8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122F5E" w:rsidRPr="00994C86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Апластические состояния кроветворения: классификация, этиология, патогенез, клинико-лабораторная диагностика.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Лейкопении. Этиология, принципы дифференциальной диагностики.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Апластическая анемия: этиология, патогенез, клиническая картина.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Классификация апластических анемий.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lastRenderedPageBreak/>
        <w:t>Врожденные формы апластической анемии: анемия Фанкони, Дамешека, Даймонда-Блэкфана.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Приобретенные формы апластической анемии: этиология, патогенез, клинико-гематологическая характеристика. Основные клинические синдромы.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Критериии диагноза АА.</w:t>
      </w:r>
    </w:p>
    <w:p w:rsidR="00994C86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4"/>
          <w:szCs w:val="28"/>
        </w:rPr>
        <w:t>Современные терапевтические подходы при АА.</w:t>
      </w:r>
    </w:p>
    <w:p w:rsidR="00994C86" w:rsidRPr="00A67431" w:rsidRDefault="00994C86" w:rsidP="00994C86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A67431">
        <w:rPr>
          <w:rFonts w:ascii="Times New Roman" w:eastAsia="Times New Roman" w:hAnsi="Times New Roman" w:cs="Times New Roman"/>
          <w:bCs/>
          <w:sz w:val="24"/>
          <w:szCs w:val="28"/>
        </w:rPr>
        <w:t>Миелодиспластический синдром, этиология, патогенез, клиника, дифференциальная диагностика, подходы к терапии.</w:t>
      </w:r>
    </w:p>
    <w:p w:rsidR="00994C86" w:rsidRPr="00994C86" w:rsidRDefault="00994C86" w:rsidP="009D6E82">
      <w:pPr>
        <w:pStyle w:val="a3"/>
        <w:numPr>
          <w:ilvl w:val="3"/>
          <w:numId w:val="4"/>
        </w:numPr>
        <w:tabs>
          <w:tab w:val="clear" w:pos="2804"/>
          <w:tab w:val="num" w:pos="2444"/>
        </w:tabs>
        <w:ind w:left="284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A67431">
        <w:rPr>
          <w:rFonts w:ascii="Times New Roman" w:eastAsia="Times New Roman" w:hAnsi="Times New Roman" w:cs="Times New Roman"/>
          <w:bCs/>
          <w:sz w:val="24"/>
          <w:szCs w:val="28"/>
        </w:rPr>
        <w:t>Классификация МДС.</w:t>
      </w:r>
    </w:p>
    <w:p w:rsidR="009D6E82" w:rsidRPr="005F234F" w:rsidRDefault="009D6E82" w:rsidP="009D6E8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234F">
        <w:rPr>
          <w:rFonts w:ascii="Times New Roman" w:hAnsi="Times New Roman" w:cs="Times New Roman"/>
          <w:b/>
          <w:bCs/>
          <w:sz w:val="28"/>
          <w:szCs w:val="28"/>
          <w:u w:val="single"/>
        </w:rPr>
        <w:t>Трансфузиология</w:t>
      </w:r>
    </w:p>
    <w:p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№1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Антигенные системы эритроцитов. Подгруппы в системе АВО, фенотип системы резус.  Алгоритм выполнения гемотрансфузий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Понятие «подгруппа» системы АВО.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подгруппы второй группы.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подгруппы четвертой группы.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 тактика у пациентов с подгруппами системы АВО.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Выявление приобретенного</w:t>
      </w:r>
      <w:proofErr w:type="gramStart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В</w:t>
      </w:r>
      <w:proofErr w:type="gramEnd"/>
      <w:r w:rsidRPr="008A092B">
        <w:rPr>
          <w:rFonts w:ascii="Times New Roman" w:eastAsia="Times New Roman" w:hAnsi="Times New Roman" w:cs="Times New Roman"/>
          <w:sz w:val="24"/>
          <w:szCs w:val="28"/>
        </w:rPr>
        <w:t>- фенотипа.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  тактика у пациента с приобретенным</w:t>
      </w:r>
      <w:proofErr w:type="gramStart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В</w:t>
      </w:r>
      <w:proofErr w:type="gramEnd"/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– фенотипом.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Диагностика фенотипа Бомбей.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Трансфузиологическая  тактика у пациента с фенотипом Бомбей.</w:t>
      </w:r>
    </w:p>
    <w:p w:rsidR="00122F5E" w:rsidRPr="008A092B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>Правило подбора компонента крови по фенотипу системы резус.</w:t>
      </w:r>
    </w:p>
    <w:p w:rsidR="00122F5E" w:rsidRDefault="00122F5E" w:rsidP="002F4A04">
      <w:pPr>
        <w:pStyle w:val="a3"/>
        <w:numPr>
          <w:ilvl w:val="0"/>
          <w:numId w:val="2"/>
        </w:numPr>
        <w:spacing w:after="0" w:line="360" w:lineRule="auto"/>
        <w:ind w:left="425" w:hanging="357"/>
        <w:rPr>
          <w:rFonts w:ascii="Times New Roman" w:eastAsia="Times New Roman" w:hAnsi="Times New Roman" w:cs="Times New Roman"/>
          <w:sz w:val="24"/>
          <w:szCs w:val="28"/>
        </w:rPr>
      </w:pPr>
      <w:r w:rsidRPr="008A092B">
        <w:rPr>
          <w:rFonts w:ascii="Times New Roman" w:eastAsia="Times New Roman" w:hAnsi="Times New Roman" w:cs="Times New Roman"/>
          <w:sz w:val="24"/>
          <w:szCs w:val="28"/>
        </w:rPr>
        <w:t xml:space="preserve"> Пробы на совместимость.</w:t>
      </w:r>
    </w:p>
    <w:p w:rsidR="00122F5E" w:rsidRPr="00122F5E" w:rsidRDefault="00122F5E" w:rsidP="00122F5E">
      <w:pPr>
        <w:pStyle w:val="a3"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8"/>
        </w:rPr>
      </w:pPr>
    </w:p>
    <w:p w:rsidR="009D6E82" w:rsidRDefault="009D6E82" w:rsidP="009D6E82">
      <w:pPr>
        <w:rPr>
          <w:rFonts w:ascii="Times New Roman" w:hAnsi="Times New Roman" w:cs="Times New Roman"/>
          <w:b/>
          <w:sz w:val="28"/>
          <w:szCs w:val="28"/>
        </w:rPr>
      </w:pPr>
      <w:r w:rsidRPr="00122F5E">
        <w:rPr>
          <w:rFonts w:ascii="Times New Roman" w:hAnsi="Times New Roman" w:cs="Times New Roman"/>
          <w:b/>
          <w:sz w:val="28"/>
          <w:szCs w:val="28"/>
        </w:rPr>
        <w:t>Занятие №2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: «</w:t>
      </w:r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Компоненты донорской крови. Технологии производства. Применение в  клинической практике</w:t>
      </w:r>
      <w:proofErr w:type="gramStart"/>
      <w:r w:rsidR="00122F5E" w:rsidRPr="00122F5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122F5E" w:rsidRPr="00122F5E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Эритроцитная масса.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Эритроциты в добавочном растворе.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 xml:space="preserve">Эритроциты в добавочном растворе с </w:t>
      </w:r>
      <w:proofErr w:type="gramStart"/>
      <w:r w:rsidRPr="008A092B">
        <w:rPr>
          <w:rFonts w:ascii="Times New Roman" w:hAnsi="Times New Roman" w:cs="Times New Roman"/>
          <w:sz w:val="24"/>
          <w:szCs w:val="28"/>
        </w:rPr>
        <w:t>удаленным</w:t>
      </w:r>
      <w:proofErr w:type="gramEnd"/>
      <w:r w:rsidRPr="008A092B">
        <w:rPr>
          <w:rFonts w:ascii="Times New Roman" w:hAnsi="Times New Roman" w:cs="Times New Roman"/>
          <w:sz w:val="24"/>
          <w:szCs w:val="28"/>
        </w:rPr>
        <w:t xml:space="preserve"> лейкотрмбослоем.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Отмытые эритроциты.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Карантинизированная свежезамороженная плазма.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Вирусинактивированная плазма.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Криопреципитат.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lastRenderedPageBreak/>
        <w:t>Тромбоцтыпулированныеполидонорские.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proofErr w:type="gramStart"/>
      <w:r w:rsidRPr="008A092B">
        <w:rPr>
          <w:rFonts w:ascii="Times New Roman" w:hAnsi="Times New Roman" w:cs="Times New Roman"/>
          <w:sz w:val="24"/>
          <w:szCs w:val="28"/>
        </w:rPr>
        <w:t>Тромбоциты</w:t>
      </w:r>
      <w:proofErr w:type="gramEnd"/>
      <w:r w:rsidRPr="008A092B">
        <w:rPr>
          <w:rFonts w:ascii="Times New Roman" w:hAnsi="Times New Roman" w:cs="Times New Roman"/>
          <w:sz w:val="24"/>
          <w:szCs w:val="28"/>
        </w:rPr>
        <w:t xml:space="preserve"> полученные методом тромбоцитофереза. Характеристика компонента. Показания к применению.</w:t>
      </w:r>
    </w:p>
    <w:p w:rsidR="00122F5E" w:rsidRPr="008A092B" w:rsidRDefault="00122F5E" w:rsidP="002F4A04">
      <w:pPr>
        <w:pStyle w:val="a3"/>
        <w:numPr>
          <w:ilvl w:val="0"/>
          <w:numId w:val="3"/>
        </w:numPr>
        <w:spacing w:after="0" w:line="360" w:lineRule="auto"/>
        <w:ind w:left="425" w:hanging="357"/>
        <w:rPr>
          <w:rFonts w:ascii="Times New Roman" w:hAnsi="Times New Roman" w:cs="Times New Roman"/>
          <w:sz w:val="24"/>
          <w:szCs w:val="28"/>
        </w:rPr>
      </w:pPr>
      <w:r w:rsidRPr="008A092B">
        <w:rPr>
          <w:rFonts w:ascii="Times New Roman" w:hAnsi="Times New Roman" w:cs="Times New Roman"/>
          <w:sz w:val="24"/>
          <w:szCs w:val="28"/>
        </w:rPr>
        <w:t>Криоконсервированные эритроциты. Характеристика компонента. Показания к применению.</w:t>
      </w:r>
    </w:p>
    <w:p w:rsidR="00122F5E" w:rsidRDefault="002F4A04" w:rsidP="009D6E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№3: «</w:t>
      </w:r>
      <w:r w:rsidRPr="002F4A04">
        <w:rPr>
          <w:rFonts w:ascii="Times New Roman" w:eastAsia="Times New Roman" w:hAnsi="Times New Roman" w:cs="Times New Roman"/>
          <w:b/>
          <w:bCs/>
          <w:sz w:val="28"/>
          <w:szCs w:val="28"/>
        </w:rPr>
        <w:t>Гемотрансфузионные реакции и осложнения</w:t>
      </w:r>
      <w:proofErr w:type="gramStart"/>
      <w:r w:rsidRPr="002F4A04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2F4A04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1. Классификация гемотрансфузионных осложнений.</w:t>
      </w:r>
    </w:p>
    <w:p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2 . </w:t>
      </w:r>
      <w:proofErr w:type="gramStart"/>
      <w:r w:rsidRPr="008A092B">
        <w:rPr>
          <w:rFonts w:ascii="Times New Roman" w:hAnsi="Times New Roman" w:cs="Times New Roman"/>
          <w:sz w:val="24"/>
          <w:szCs w:val="24"/>
        </w:rPr>
        <w:t>Цитратно – калиевая</w:t>
      </w:r>
      <w:proofErr w:type="gramEnd"/>
      <w:r w:rsidRPr="008A092B">
        <w:rPr>
          <w:rFonts w:ascii="Times New Roman" w:hAnsi="Times New Roman" w:cs="Times New Roman"/>
          <w:sz w:val="24"/>
          <w:szCs w:val="24"/>
        </w:rPr>
        <w:t xml:space="preserve"> интоксикация. Причины. Клиника</w:t>
      </w:r>
      <w:proofErr w:type="gramStart"/>
      <w:r w:rsidRPr="008A092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8A092B">
        <w:rPr>
          <w:rFonts w:ascii="Times New Roman" w:hAnsi="Times New Roman" w:cs="Times New Roman"/>
          <w:sz w:val="24"/>
          <w:szCs w:val="24"/>
        </w:rPr>
        <w:t>рофилактика.</w:t>
      </w:r>
    </w:p>
    <w:p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3.Неиммунные гемолитические гемотрансфузионные реакции и осложнения.</w:t>
      </w:r>
    </w:p>
    <w:p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4.Острый иммунный внутрисосудистый гемолиз.</w:t>
      </w:r>
    </w:p>
    <w:p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5.Отсроченный иммунный внутриклеточный гемолиз.</w:t>
      </w:r>
    </w:p>
    <w:p w:rsidR="002F4A04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>6.Температурные негемолитические посттрансфузионные реакции. Причины. Клиника. Профилактика.</w:t>
      </w:r>
    </w:p>
    <w:p w:rsidR="002F4A04" w:rsidRPr="008A092B" w:rsidRDefault="002F4A04" w:rsidP="002F4A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92B">
        <w:rPr>
          <w:rFonts w:ascii="Times New Roman" w:hAnsi="Times New Roman" w:cs="Times New Roman"/>
          <w:sz w:val="24"/>
          <w:szCs w:val="24"/>
        </w:rPr>
        <w:t xml:space="preserve">7.Инфекционные гемотрансфузионные осложнения. </w:t>
      </w:r>
    </w:p>
    <w:p w:rsidR="002F4A04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8.Пострансфузионный гемохроматоз.</w:t>
      </w:r>
    </w:p>
    <w:p w:rsidR="002F4A04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9.Волемическая перегрузка.</w:t>
      </w:r>
    </w:p>
    <w:p w:rsidR="002F4A04" w:rsidRPr="008A092B" w:rsidRDefault="002F4A04" w:rsidP="002F4A0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92B">
        <w:rPr>
          <w:rFonts w:ascii="Times New Roman" w:eastAsia="Times New Roman" w:hAnsi="Times New Roman" w:cs="Times New Roman"/>
          <w:sz w:val="24"/>
          <w:szCs w:val="24"/>
        </w:rPr>
        <w:t>10. Посттрансфузионная иммунная тромбоцитопеническая пурпура</w:t>
      </w:r>
    </w:p>
    <w:p w:rsidR="002F4A04" w:rsidRPr="00122F5E" w:rsidRDefault="002F4A04" w:rsidP="009D6E82">
      <w:pPr>
        <w:rPr>
          <w:rFonts w:ascii="Times New Roman" w:hAnsi="Times New Roman" w:cs="Times New Roman"/>
          <w:b/>
          <w:sz w:val="28"/>
          <w:szCs w:val="28"/>
        </w:rPr>
      </w:pPr>
    </w:p>
    <w:p w:rsidR="009D6E82" w:rsidRPr="009D6E82" w:rsidRDefault="009D6E82" w:rsidP="009D6E8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D6E82" w:rsidRPr="009D6E8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E82"/>
    <w:rsid w:val="00122F5E"/>
    <w:rsid w:val="00150AF5"/>
    <w:rsid w:val="001D406F"/>
    <w:rsid w:val="002E4785"/>
    <w:rsid w:val="002F4A04"/>
    <w:rsid w:val="00431B6C"/>
    <w:rsid w:val="0043794A"/>
    <w:rsid w:val="005F234F"/>
    <w:rsid w:val="006512E7"/>
    <w:rsid w:val="00781F25"/>
    <w:rsid w:val="00994C86"/>
    <w:rsid w:val="009D6E82"/>
    <w:rsid w:val="00B94F4C"/>
    <w:rsid w:val="00C82A73"/>
    <w:rsid w:val="00DF6532"/>
    <w:rsid w:val="00F602C8"/>
    <w:rsid w:val="00FE0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F5E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1525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mishenin1</cp:lastModifiedBy>
  <cp:revision>2</cp:revision>
  <dcterms:created xsi:type="dcterms:W3CDTF">2024-01-27T13:18:00Z</dcterms:created>
  <dcterms:modified xsi:type="dcterms:W3CDTF">2024-01-27T13:18:00Z</dcterms:modified>
</cp:coreProperties>
</file>