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3B0" w:rsidRPr="004B33B0" w:rsidRDefault="0052172B" w:rsidP="004B33B0">
      <w:pPr>
        <w:jc w:val="center"/>
        <w:rPr>
          <w:rFonts w:ascii="Times New Roman" w:hAnsi="Times New Roman" w:cs="Times New Roman"/>
          <w:sz w:val="28"/>
          <w:szCs w:val="28"/>
        </w:rPr>
      </w:pPr>
      <w:r w:rsidRPr="0052172B">
        <w:rPr>
          <w:rFonts w:ascii="Times New Roman" w:hAnsi="Times New Roman" w:cs="Times New Roman"/>
          <w:sz w:val="28"/>
          <w:szCs w:val="28"/>
        </w:rPr>
        <w:t>Техника ретроградной панкреатохолангиографии</w:t>
      </w:r>
      <w:bookmarkStart w:id="0" w:name="_GoBack"/>
      <w:bookmarkEnd w:id="0"/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ПРИ ГЕМОЛИТИЧЕСКОЙ ЖЕЛТУХЕ УРОВЕНЬ БИЛИРУБИНА:</w:t>
      </w:r>
    </w:p>
    <w:p w:rsidR="004B33B0" w:rsidRPr="004B33B0" w:rsidRDefault="004B33B0" w:rsidP="004B33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снижен</w:t>
      </w:r>
    </w:p>
    <w:p w:rsidR="004B33B0" w:rsidRPr="004B33B0" w:rsidRDefault="004B33B0" w:rsidP="004B33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повышен</w:t>
      </w:r>
    </w:p>
    <w:p w:rsidR="004B33B0" w:rsidRPr="004B33B0" w:rsidRDefault="004B33B0" w:rsidP="004B33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не изменен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ПРИ ГЕМОЛИТИЧЕСКОЙ ЖЕЛТУХЕ: АКТИВНОСТЬ АЛЬДОЛАЗЫ</w:t>
      </w:r>
    </w:p>
    <w:p w:rsidR="004B33B0" w:rsidRPr="004B33B0" w:rsidRDefault="004B33B0" w:rsidP="004B33B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нормальная</w:t>
      </w:r>
    </w:p>
    <w:p w:rsidR="004B33B0" w:rsidRPr="004B33B0" w:rsidRDefault="004B33B0" w:rsidP="004B33B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повышена</w:t>
      </w:r>
    </w:p>
    <w:p w:rsidR="004B33B0" w:rsidRPr="004B33B0" w:rsidRDefault="004B33B0" w:rsidP="004B33B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снижена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ДЛЯ ЭНДОСКОПИЧЕСКОЙ БАЛЛОННОЙ ПАПИЛЛОДИЛЯТАЦИИ ТАКОЕ ОСЛОЖНЕНИЕ КАК КРОВОТЕЧЕНИЕ:</w:t>
      </w:r>
    </w:p>
    <w:p w:rsidR="004B33B0" w:rsidRPr="004B33B0" w:rsidRDefault="004B33B0" w:rsidP="004B33B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характерно</w:t>
      </w:r>
    </w:p>
    <w:p w:rsidR="004B33B0" w:rsidRPr="004B33B0" w:rsidRDefault="004B33B0" w:rsidP="004B33B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не характерно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НАИБОЛЕЕ ЧАСТОЕ ОСЛОЖНЕНИЕ: ЭНДОСКОПИЧЕСКОЙ БАЛЛОННОЙ ПАПИЛЛОДИЛЯТАЦИИ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холангит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холецистит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НАИБОЛЕЕ РЕДКОЕ ОСЛОЖНЕНИЕ: ЭНДОСКОПИЧЕСКОЙ ПАПИЛЛОСФИНКТЕРОТОМИИ:</w:t>
      </w:r>
    </w:p>
    <w:p w:rsidR="004B33B0" w:rsidRPr="004B33B0" w:rsidRDefault="004B33B0" w:rsidP="004B33B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4B33B0" w:rsidRPr="004B33B0" w:rsidRDefault="004B33B0" w:rsidP="004B33B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4B33B0" w:rsidRPr="004B33B0" w:rsidRDefault="004B33B0" w:rsidP="004B33B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холангит</w:t>
      </w:r>
    </w:p>
    <w:p w:rsidR="004B33B0" w:rsidRPr="004B33B0" w:rsidRDefault="004B33B0" w:rsidP="004B33B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lastRenderedPageBreak/>
        <w:t>холецистит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Вопрос 6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ГИДРАТНЫЙ ЭХИНОККОК ПРИ В/В ВВЕДЕНИИ ФЛЮОРЕСЦЕИНА НАТРИЯ С ИНД</w:t>
      </w:r>
      <w:r>
        <w:rPr>
          <w:rFonts w:ascii="Times New Roman" w:hAnsi="Times New Roman" w:cs="Times New Roman"/>
          <w:sz w:val="28"/>
          <w:szCs w:val="28"/>
        </w:rPr>
        <w:t>ИГОКАРМИНОМ ОКРАШИВАЕТСЯ В ЦВЕТ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зеленый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черный 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ПОСЛЕ ВНУТРИВЕННОГО ВВЕДЕНИЯ ИНДИГОКАРМИНА ПЕЧЕНЬ ПРИОБРЕТАЕТ ЦВЕТ: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черно-зеленый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ПОСЛЕ ВНУТРИВЕННОГО ВВЕДЕНИЯ ИНДИГОКАРМИНА ЖЕЛЧНЫЙ ПУЗЫРЬ ОКРАШИВАЕТСЯ В ЦВЕТ: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ярко-голубой, 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ПОСЛЕ ВНУТРИВЕННОГО ВВЕДЕНИЯ ИНДИГОКАРМИНА ПОЧКИ ОКРАШИВАЮТСЯ В ЦВЕТ: 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ярко-голубой,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lastRenderedPageBreak/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ДЛЯ РЕТРОГРАДНОЙ ПАНКРЕАТОХОЛАНГИОГРАФИИИ ИСПОЛЬЗУЮТ КОНТРАСТНОЕ ВЕЩЕСТВО:</w:t>
      </w:r>
    </w:p>
    <w:p w:rsidR="004B33B0" w:rsidRPr="004B33B0" w:rsidRDefault="004B33B0" w:rsidP="004B33B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водорастворимое</w:t>
      </w:r>
    </w:p>
    <w:p w:rsidR="004B33B0" w:rsidRDefault="004B33B0" w:rsidP="004B33B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масляное</w:t>
      </w:r>
    </w:p>
    <w:p w:rsidR="00D70A36" w:rsidRPr="004B33B0" w:rsidRDefault="00D70A36" w:rsidP="00D70A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ВЗРОСЛОМУ ПАЦИЕНТУ РАВНА: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50 минут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60 минут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70 минут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85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ЭЗОФАГОСКОПИИ ДЕТЯМ РАВН</w:t>
      </w:r>
      <w:r>
        <w:rPr>
          <w:rFonts w:ascii="Times New Roman" w:hAnsi="Times New Roman" w:cs="Times New Roman"/>
          <w:sz w:val="28"/>
          <w:szCs w:val="28"/>
        </w:rPr>
        <w:t>А: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30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35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40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45 минут</w:t>
      </w:r>
    </w:p>
    <w:p w:rsidR="00D93EB8" w:rsidRDefault="00D93EB8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ЭНДОСКОПИЧЕСКАЯ ПАПИЛЛОСФИНКТЕРОТОМИЯ НЕ ПОКАЗАНА ПРИ:</w:t>
      </w:r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мелки</w:t>
      </w:r>
      <w:r>
        <w:rPr>
          <w:rFonts w:ascii="Times New Roman" w:hAnsi="Times New Roman" w:cs="Times New Roman"/>
          <w:sz w:val="28"/>
          <w:szCs w:val="28"/>
        </w:rPr>
        <w:t xml:space="preserve">х конкрементах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непротяженных стриктурах дист</w:t>
      </w:r>
      <w:r>
        <w:rPr>
          <w:rFonts w:ascii="Times New Roman" w:hAnsi="Times New Roman" w:cs="Times New Roman"/>
          <w:sz w:val="28"/>
          <w:szCs w:val="28"/>
        </w:rPr>
        <w:t xml:space="preserve">ального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высоких стрикту</w:t>
      </w:r>
      <w:r>
        <w:rPr>
          <w:rFonts w:ascii="Times New Roman" w:hAnsi="Times New Roman" w:cs="Times New Roman"/>
          <w:sz w:val="28"/>
          <w:szCs w:val="28"/>
        </w:rPr>
        <w:t xml:space="preserve">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14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РЕТРОГРАДНАЯ ПАНКРЕАТОХОЛАНГИОГРАФИЯ ПРОТИВОПОКАЗАНА ПРИ:</w:t>
      </w:r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холедохолитиазе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панкреатолитиазе</w:t>
      </w:r>
      <w:proofErr w:type="spellEnd"/>
    </w:p>
    <w:p w:rsidR="00D70A36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панкреанекрозе</w:t>
      </w:r>
      <w:proofErr w:type="spellEnd"/>
    </w:p>
    <w:p w:rsid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</w:t>
      </w:r>
      <w:r>
        <w:rPr>
          <w:rFonts w:ascii="Times New Roman" w:hAnsi="Times New Roman" w:cs="Times New Roman"/>
          <w:sz w:val="28"/>
          <w:szCs w:val="28"/>
        </w:rPr>
        <w:t>ЯЮТ ПО УСЛОВНОМУ ЦИФЕРБЛАТУ НА: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D70A36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ПРИ РЕТРОГРАДНОЙ ХОЛАНГИОПАНКРЕАТОГРАФИИ ВЗРОСЛОМУ ПАЦИЕНТУ РАВНА: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ВЗРОСЛОМУ ПАЦИЕНТУ РАВНА:</w:t>
      </w:r>
    </w:p>
    <w:p w:rsidR="00D70A36" w:rsidRPr="0059366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120 минут</w:t>
      </w:r>
    </w:p>
    <w:p w:rsidR="00D70A36" w:rsidRPr="0059366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D70A36" w:rsidRPr="0059366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D70A3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18</w:t>
      </w: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АБСОЛЮТНОЕ ПРОТИВОПОКАЗАНИЕ К ЭКСТРЕННОЙ ЭЗОФАГОГАСТРОДУОДЕНОФИБРОСКОПИИ: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геморрагический шок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агональное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состояние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алкогольное опьянение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инфаркт миокарда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варикозное расширение вен пищевода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СПЕЦИАЛЬНАЯ ПОДГОТОВКА К ФИБРОГАСТРОСКОПИИ ТРЕБУЕТСЯ У БОЛЬНЫХ С: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язвой желудка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стенозом привратника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хроническим гастритом</w:t>
      </w:r>
    </w:p>
    <w:p w:rsidR="00D70A3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полипами желудка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УТОЧНЕНИЯ ХАРАКТЕРА ЖЕЛТУХИ ПРОТИВОПОКАЗАНО ПРИМЕНЕНИЕ:</w:t>
      </w:r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внутривенной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холецистохолангиографии</w:t>
      </w:r>
      <w:proofErr w:type="spellEnd"/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чрезкожной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чрезпеченочной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эндоскопической ретроградной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ОБЩЕГО ЖЕЛЧНОГО ПРОТОКА НА ХОЛАНГИГРАММАХ В НОРМЕ РАВНА:</w:t>
      </w:r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0,6-</w:t>
      </w:r>
      <w:smartTag w:uri="urn:schemas-microsoft-com:office:smarttags" w:element="metricconverter">
        <w:smartTagPr>
          <w:attr w:name="ProductID" w:val="0,8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0,8 см</w:t>
        </w:r>
      </w:smartTag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0,8-</w:t>
      </w:r>
      <w:smartTag w:uri="urn:schemas-microsoft-com:office:smarttags" w:element="metricconverter">
        <w:smartTagPr>
          <w:attr w:name="ProductID" w:val="1,0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1,0 см</w:t>
        </w:r>
      </w:smartTag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1,0-</w:t>
      </w:r>
      <w:smartTag w:uri="urn:schemas-microsoft-com:office:smarttags" w:element="metricconverter">
        <w:smartTagPr>
          <w:attr w:name="ProductID" w:val="1,2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1,2 см</w:t>
        </w:r>
      </w:smartTag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22</w:t>
      </w:r>
    </w:p>
    <w:p w:rsidR="00D70A36" w:rsidRPr="00BE2309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ПЕРЕМЕЖАЮЩАЯСЯ МЕХАНИЧЕСКАЯ ЖЕЛТУХА ВЫЗЫВАЕТСЯ НАЛИЧИЕМ В ГЕПАТИКОХОЛЕДОХЕ: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опухоли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вклиненного камня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стриктуры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вентильного камня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МЕХАНИЧЕСКОЙ ЖЕЛТУХЕ: АКТИВНОСТЬ АЛЬДОЛАЗЫ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</w:t>
      </w:r>
      <w:r>
        <w:rPr>
          <w:rFonts w:ascii="Times New Roman" w:hAnsi="Times New Roman" w:cs="Times New Roman"/>
          <w:sz w:val="28"/>
          <w:szCs w:val="28"/>
        </w:rPr>
        <w:t>с 24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ПАРЕНХИМАТОЗНОЙ ЖЕЛТУХЕ АКТИВНОСТЬ АЛЬДОЛАЗЫ: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BE2309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D70A36" w:rsidRPr="00BE2309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ДЛЯ ГЕМОЛИТИЧЕСКОЙ ЖЕЛТУХИ ХАРАКТЕРНА РЕАКЦИЯ БИЛИРУБИНА:</w:t>
      </w:r>
    </w:p>
    <w:p w:rsidR="00D70A36" w:rsidRPr="00BE2309" w:rsidRDefault="00D70A36" w:rsidP="00D70A3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прямая</w:t>
      </w:r>
    </w:p>
    <w:p w:rsidR="00D70A36" w:rsidRDefault="00D70A36" w:rsidP="00D70A3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непрямая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ПАНКРЕАТИЧЕСКОГО ПРОТОКА В ДИСТАЛЬНОЙ ЧАСТИ В НОРМЕ НЕ ПРЕВЫШАЕТ:</w:t>
      </w:r>
    </w:p>
    <w:p w:rsidR="00D70A36" w:rsidRPr="00BE2309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0,2-</w:t>
      </w:r>
      <w:smartTag w:uri="urn:schemas-microsoft-com:office:smarttags" w:element="metricconverter">
        <w:smartTagPr>
          <w:attr w:name="ProductID" w:val="0,3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0,3 см</w:t>
        </w:r>
      </w:smartTag>
    </w:p>
    <w:p w:rsidR="00D70A36" w:rsidRPr="00BE2309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0,3-</w:t>
      </w:r>
      <w:smartTag w:uri="urn:schemas-microsoft-com:office:smarttags" w:element="metricconverter">
        <w:smartTagPr>
          <w:attr w:name="ProductID" w:val="0,4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0,4 см</w:t>
        </w:r>
      </w:smartTag>
    </w:p>
    <w:p w:rsidR="00D70A36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0,4-0,5 см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ПАНКРЕАТИЧЕСКОГО ПРОТОКА В ДИСТАЛЬНОЙ ЧАСТИ В НОРМЕ НЕ ПРЕВЫШАЕТ:</w:t>
      </w:r>
    </w:p>
    <w:p w:rsidR="00D70A36" w:rsidRPr="00BE2309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0,2-</w:t>
      </w:r>
      <w:smartTag w:uri="urn:schemas-microsoft-com:office:smarttags" w:element="metricconverter">
        <w:smartTagPr>
          <w:attr w:name="ProductID" w:val="0,3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0,3 см</w:t>
        </w:r>
      </w:smartTag>
    </w:p>
    <w:p w:rsidR="00D70A36" w:rsidRPr="00BE2309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0,3-</w:t>
      </w:r>
      <w:smartTag w:uri="urn:schemas-microsoft-com:office:smarttags" w:element="metricconverter">
        <w:smartTagPr>
          <w:attr w:name="ProductID" w:val="0,4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0,4 см</w:t>
        </w:r>
      </w:smartTag>
    </w:p>
    <w:p w:rsidR="00D70A36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0,4-0,5 см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СПОСОБ ОСМОТРА СЛИЗИСТОЙ ЖЕЛЧНЫХ ПРОТОКОВ ВО ВРЕМЯ ОПЕРАЦИИ НАЗВАН ХОЛЕДОХОСКОПИЕЙ</w:t>
      </w:r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Зорнтоном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Бекисом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Антоници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Вилдельгансом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Шором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ХОЛЕДОХОСКОП НА ОСНОВЕ ФИБРОВОЛОКОННОЙ ОПТИКИ БЫЛ СОЗДАН В: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1946 г.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5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1965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8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1968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0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1970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4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1974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30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ПРИ РЕТРОГРАДНОЙ ХОЛАНГИОПАНКРЕАТОГРАФИИ ДЕТЯМ РАВНА: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ДЕТЯМ РАВНА: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120 минут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32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ПОЗВОЛЯЕТ ОПРЕДЕЛИТЬ:</w:t>
      </w:r>
    </w:p>
    <w:p w:rsidR="00D70A36" w:rsidRPr="0059366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объем кровопотери</w:t>
      </w:r>
    </w:p>
    <w:p w:rsidR="00D70A36" w:rsidRPr="0059366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интенсивность кровотечения</w:t>
      </w:r>
    </w:p>
    <w:p w:rsidR="00D70A3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степень тяжести кровотечения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ЭНДОСКОПИЧЕСКАЯ ПАПИЛЛОСФИНКТЕРОТОМИЯ НЕ ПОКАЗАНА ПРИ:</w:t>
      </w:r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мелки</w:t>
      </w:r>
      <w:r>
        <w:rPr>
          <w:rFonts w:ascii="Times New Roman" w:hAnsi="Times New Roman" w:cs="Times New Roman"/>
          <w:sz w:val="28"/>
          <w:szCs w:val="28"/>
        </w:rPr>
        <w:t xml:space="preserve">х конкрементах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непротяженных стриктурах дист</w:t>
      </w:r>
      <w:r>
        <w:rPr>
          <w:rFonts w:ascii="Times New Roman" w:hAnsi="Times New Roman" w:cs="Times New Roman"/>
          <w:sz w:val="28"/>
          <w:szCs w:val="28"/>
        </w:rPr>
        <w:t xml:space="preserve">ального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высоких стрикту</w:t>
      </w:r>
      <w:r>
        <w:rPr>
          <w:rFonts w:ascii="Times New Roman" w:hAnsi="Times New Roman" w:cs="Times New Roman"/>
          <w:sz w:val="28"/>
          <w:szCs w:val="28"/>
        </w:rPr>
        <w:t xml:space="preserve">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34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РЕТРОГРАДНАЯ ПАНКРЕАТОХОЛАНГИОГРАФИЯ ПРОТИВОПОКАЗАНА ПРИ:</w:t>
      </w:r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холедохолитиазе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панкреатолитиазе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панкреанекрозе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НАИБОЛЕЕ ЧАСТОЕ ОСЛОЖНЕНИЕ ЭНДОСКОПИЧЕСКОЙ ПАПИЛЛОСФИНКТЕРОТОМИИ 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холангит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панкреатит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РЕДКОЕ ОСЛОЖНЕНИЕ: ЭНДОСКО</w:t>
      </w:r>
      <w:r>
        <w:rPr>
          <w:rFonts w:ascii="Times New Roman" w:hAnsi="Times New Roman" w:cs="Times New Roman"/>
          <w:sz w:val="28"/>
          <w:szCs w:val="28"/>
        </w:rPr>
        <w:t>ПИЧЕСКОЙ ПАПИЛЛОСФИНКТЕРОТОМИИ: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</w:t>
      </w:r>
      <w:r>
        <w:rPr>
          <w:rFonts w:ascii="Times New Roman" w:hAnsi="Times New Roman" w:cs="Times New Roman"/>
          <w:sz w:val="28"/>
          <w:szCs w:val="28"/>
        </w:rPr>
        <w:t>ЯЮТ ПО УСЛОВНОМУ ЦИФЕРБЛАТУ НА: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ЧАСТОЕ ОСЛОЖНЕНИЕ: ЭНДОСКОПИЧЕСКОЙ БАЛЛОННОЙ ПАПИЛЛОДИЛЯТАЦИИ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ПРИ ОСТРОМ ПАНКРЕАТИТЕ ПОЗВОЛЯЕТ: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подтвердить наличие панкреатита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уточнить форму панкреатита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осмотреть фатеров сосок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границы поражения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</w:t>
      </w:r>
      <w:r>
        <w:rPr>
          <w:rFonts w:ascii="Times New Roman" w:hAnsi="Times New Roman" w:cs="Times New Roman"/>
          <w:sz w:val="28"/>
          <w:szCs w:val="28"/>
        </w:rPr>
        <w:t>ЫЙ СИМПТОМ РАКА ФАТЕРОВА СОСКА: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боль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ЧАСТЫЙ СИМПТОМ АДЕН</w:t>
      </w:r>
      <w:r>
        <w:rPr>
          <w:rFonts w:ascii="Times New Roman" w:hAnsi="Times New Roman" w:cs="Times New Roman"/>
          <w:sz w:val="28"/>
          <w:szCs w:val="28"/>
        </w:rPr>
        <w:t>ОМЫ ФАТЕРОВА СОСКА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боль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42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НАПРАВЛЯЮТ ПО УСЛОВНОМУ ЦИФЕРБЛАТУ НА: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ВЫРАЖЕНЫ ЦИРКУЛЯРНЫЕ СКЛАДКИ КЕРКРИНГА В КИШКЕ: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двенадцатиперстной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тощей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подвздошной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толстой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44</w:t>
      </w: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ПРИ ПОДОЗРЕНИИ НА ПЕРФОРАТИВНУЮ ЯЗВУ ЖЕЛУДКА ИЛИ ДВЕНАДЦАТИПЕРСТНОЙ КИШ</w:t>
      </w:r>
      <w:r>
        <w:rPr>
          <w:rFonts w:ascii="Times New Roman" w:hAnsi="Times New Roman" w:cs="Times New Roman"/>
          <w:sz w:val="28"/>
          <w:szCs w:val="28"/>
        </w:rPr>
        <w:t>КИ В ПЕРВУЮ ОЧЕРЕДЬ ПРОВОДЯТ:</w:t>
      </w:r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лапароскопию</w:t>
      </w:r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фиброколоноскопию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эзофагогастродуоденофиброскопию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обзорную R-графию брюшной полости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ДЕЗИНФЕКЦИЯ ЭНДОСКОПОВ РАСТВОРОМ ЛИЗАФИНА 1% ПРОИЗВОДИТСЯ В ТЕЧЕНИЕ: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 минут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10 минут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1 ГОДА ПРИМЕНЯЕТСЯ ТРУБКА №: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4 ГОДА ПРИМЕНЯЕТСЯ ТРУБКА №: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8 ЛЕТ ПРИМЕНЯЕТСЯ ТРУБКА №: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ТРИАДА КАРВЕРА ВКЛЮЧАЕТ:</w:t>
      </w:r>
    </w:p>
    <w:p w:rsidR="00D70A36" w:rsidRPr="00593666" w:rsidRDefault="00D70A36" w:rsidP="00D70A36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аксиальную грыжу, язву 12п кишки, рефлюкс-эзофагит</w:t>
      </w:r>
    </w:p>
    <w:p w:rsidR="00D70A36" w:rsidRPr="00593666" w:rsidRDefault="00D70A36" w:rsidP="00D70A36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рефлюкс-эзофагит, аксиальную грыжу, язву желудка</w:t>
      </w:r>
    </w:p>
    <w:p w:rsidR="00D70A36" w:rsidRPr="00593666" w:rsidRDefault="00D70A36" w:rsidP="00D70A36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язву 12п кишки, аксиальную грыжу, язву желудка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50</w:t>
      </w: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НАИБОЛЕЕ ЧАСТО У ВЗРОСЛЫХ ВСТРЕЧАЕТСЯ ФОРМА ДВЕНАДЦАТИПЕРСТНОЙ КИШКИ: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складчатая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подковообразная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углообразная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кольцевидная</w:t>
      </w: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4B33B0" w:rsidRDefault="00D70A36">
      <w:pPr>
        <w:rPr>
          <w:rFonts w:ascii="Times New Roman" w:hAnsi="Times New Roman" w:cs="Times New Roman"/>
          <w:sz w:val="28"/>
          <w:szCs w:val="28"/>
        </w:rPr>
      </w:pPr>
    </w:p>
    <w:sectPr w:rsidR="00D70A36" w:rsidRPr="004B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320A"/>
    <w:multiLevelType w:val="hybridMultilevel"/>
    <w:tmpl w:val="CB4E24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65D8F"/>
    <w:multiLevelType w:val="hybridMultilevel"/>
    <w:tmpl w:val="DEDE65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3168E"/>
    <w:multiLevelType w:val="hybridMultilevel"/>
    <w:tmpl w:val="17243D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D741A"/>
    <w:multiLevelType w:val="hybridMultilevel"/>
    <w:tmpl w:val="C53E98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1592C"/>
    <w:multiLevelType w:val="hybridMultilevel"/>
    <w:tmpl w:val="520E797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BF41A5"/>
    <w:multiLevelType w:val="hybridMultilevel"/>
    <w:tmpl w:val="163A36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73FBD"/>
    <w:multiLevelType w:val="hybridMultilevel"/>
    <w:tmpl w:val="D08C1C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B5B1C"/>
    <w:multiLevelType w:val="hybridMultilevel"/>
    <w:tmpl w:val="12382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918E8"/>
    <w:multiLevelType w:val="hybridMultilevel"/>
    <w:tmpl w:val="5D1A3C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86B1F"/>
    <w:multiLevelType w:val="hybridMultilevel"/>
    <w:tmpl w:val="0F406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F51B3"/>
    <w:multiLevelType w:val="hybridMultilevel"/>
    <w:tmpl w:val="0144C9E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74B50"/>
    <w:multiLevelType w:val="hybridMultilevel"/>
    <w:tmpl w:val="0128BB0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B5806"/>
    <w:multiLevelType w:val="hybridMultilevel"/>
    <w:tmpl w:val="60CE12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A7EAF"/>
    <w:multiLevelType w:val="hybridMultilevel"/>
    <w:tmpl w:val="898C28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E6D1D"/>
    <w:multiLevelType w:val="hybridMultilevel"/>
    <w:tmpl w:val="60228A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C1DBA"/>
    <w:multiLevelType w:val="hybridMultilevel"/>
    <w:tmpl w:val="5BDEBA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16AA1"/>
    <w:multiLevelType w:val="hybridMultilevel"/>
    <w:tmpl w:val="D012E8F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65328"/>
    <w:multiLevelType w:val="hybridMultilevel"/>
    <w:tmpl w:val="E80A4F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552C82"/>
    <w:multiLevelType w:val="hybridMultilevel"/>
    <w:tmpl w:val="4C62AA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483264"/>
    <w:multiLevelType w:val="hybridMultilevel"/>
    <w:tmpl w:val="E196C8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797C0D"/>
    <w:multiLevelType w:val="hybridMultilevel"/>
    <w:tmpl w:val="B30C7F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213471"/>
    <w:multiLevelType w:val="hybridMultilevel"/>
    <w:tmpl w:val="333E44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3A6F75"/>
    <w:multiLevelType w:val="hybridMultilevel"/>
    <w:tmpl w:val="6E6456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4A52EA"/>
    <w:multiLevelType w:val="hybridMultilevel"/>
    <w:tmpl w:val="5C7C8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1A786D"/>
    <w:multiLevelType w:val="hybridMultilevel"/>
    <w:tmpl w:val="7D0480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D522FA"/>
    <w:multiLevelType w:val="hybridMultilevel"/>
    <w:tmpl w:val="25E675D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422AB3"/>
    <w:multiLevelType w:val="hybridMultilevel"/>
    <w:tmpl w:val="8D8E0B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B0018"/>
    <w:multiLevelType w:val="hybridMultilevel"/>
    <w:tmpl w:val="71842F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D3133"/>
    <w:multiLevelType w:val="hybridMultilevel"/>
    <w:tmpl w:val="78AE3B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6C5016"/>
    <w:multiLevelType w:val="hybridMultilevel"/>
    <w:tmpl w:val="569E67D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5478EF"/>
    <w:multiLevelType w:val="hybridMultilevel"/>
    <w:tmpl w:val="7E0C30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9539D0"/>
    <w:multiLevelType w:val="hybridMultilevel"/>
    <w:tmpl w:val="5A2E0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E36C6B"/>
    <w:multiLevelType w:val="hybridMultilevel"/>
    <w:tmpl w:val="0AC6B332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6315D4"/>
    <w:multiLevelType w:val="hybridMultilevel"/>
    <w:tmpl w:val="28B62C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785BB9"/>
    <w:multiLevelType w:val="hybridMultilevel"/>
    <w:tmpl w:val="0F406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F411D2"/>
    <w:multiLevelType w:val="hybridMultilevel"/>
    <w:tmpl w:val="C360CD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1B100D"/>
    <w:multiLevelType w:val="hybridMultilevel"/>
    <w:tmpl w:val="084477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6833D2"/>
    <w:multiLevelType w:val="hybridMultilevel"/>
    <w:tmpl w:val="9AB0C92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8809E2"/>
    <w:multiLevelType w:val="hybridMultilevel"/>
    <w:tmpl w:val="C68C9A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622CEB"/>
    <w:multiLevelType w:val="hybridMultilevel"/>
    <w:tmpl w:val="F29041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2908B2"/>
    <w:multiLevelType w:val="hybridMultilevel"/>
    <w:tmpl w:val="AF8646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B17962"/>
    <w:multiLevelType w:val="hybridMultilevel"/>
    <w:tmpl w:val="0B5C389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354B09"/>
    <w:multiLevelType w:val="hybridMultilevel"/>
    <w:tmpl w:val="B4F012F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C8152B"/>
    <w:multiLevelType w:val="hybridMultilevel"/>
    <w:tmpl w:val="8432F3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805AC9"/>
    <w:multiLevelType w:val="hybridMultilevel"/>
    <w:tmpl w:val="28327A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9629A9"/>
    <w:multiLevelType w:val="hybridMultilevel"/>
    <w:tmpl w:val="DAEADB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EF1889"/>
    <w:multiLevelType w:val="hybridMultilevel"/>
    <w:tmpl w:val="D562C7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C21C45"/>
    <w:multiLevelType w:val="hybridMultilevel"/>
    <w:tmpl w:val="829053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7"/>
  </w:num>
  <w:num w:numId="3">
    <w:abstractNumId w:val="6"/>
  </w:num>
  <w:num w:numId="4">
    <w:abstractNumId w:val="44"/>
  </w:num>
  <w:num w:numId="5">
    <w:abstractNumId w:val="21"/>
  </w:num>
  <w:num w:numId="6">
    <w:abstractNumId w:val="20"/>
  </w:num>
  <w:num w:numId="7">
    <w:abstractNumId w:val="8"/>
  </w:num>
  <w:num w:numId="8">
    <w:abstractNumId w:val="30"/>
  </w:num>
  <w:num w:numId="9">
    <w:abstractNumId w:val="5"/>
  </w:num>
  <w:num w:numId="10">
    <w:abstractNumId w:val="19"/>
  </w:num>
  <w:num w:numId="11">
    <w:abstractNumId w:val="24"/>
  </w:num>
  <w:num w:numId="12">
    <w:abstractNumId w:val="37"/>
  </w:num>
  <w:num w:numId="13">
    <w:abstractNumId w:val="29"/>
  </w:num>
  <w:num w:numId="14">
    <w:abstractNumId w:val="41"/>
  </w:num>
  <w:num w:numId="15">
    <w:abstractNumId w:val="32"/>
  </w:num>
  <w:num w:numId="16">
    <w:abstractNumId w:val="25"/>
  </w:num>
  <w:num w:numId="17">
    <w:abstractNumId w:val="46"/>
  </w:num>
  <w:num w:numId="18">
    <w:abstractNumId w:val="28"/>
  </w:num>
  <w:num w:numId="19">
    <w:abstractNumId w:val="40"/>
  </w:num>
  <w:num w:numId="20">
    <w:abstractNumId w:val="36"/>
  </w:num>
  <w:num w:numId="21">
    <w:abstractNumId w:val="47"/>
  </w:num>
  <w:num w:numId="22">
    <w:abstractNumId w:val="14"/>
  </w:num>
  <w:num w:numId="23">
    <w:abstractNumId w:val="13"/>
  </w:num>
  <w:num w:numId="24">
    <w:abstractNumId w:val="0"/>
  </w:num>
  <w:num w:numId="25">
    <w:abstractNumId w:val="18"/>
  </w:num>
  <w:num w:numId="26">
    <w:abstractNumId w:val="15"/>
  </w:num>
  <w:num w:numId="27">
    <w:abstractNumId w:val="34"/>
  </w:num>
  <w:num w:numId="28">
    <w:abstractNumId w:val="9"/>
  </w:num>
  <w:num w:numId="29">
    <w:abstractNumId w:val="45"/>
  </w:num>
  <w:num w:numId="30">
    <w:abstractNumId w:val="1"/>
  </w:num>
  <w:num w:numId="31">
    <w:abstractNumId w:val="38"/>
  </w:num>
  <w:num w:numId="32">
    <w:abstractNumId w:val="33"/>
  </w:num>
  <w:num w:numId="33">
    <w:abstractNumId w:val="26"/>
  </w:num>
  <w:num w:numId="34">
    <w:abstractNumId w:val="4"/>
  </w:num>
  <w:num w:numId="35">
    <w:abstractNumId w:val="42"/>
  </w:num>
  <w:num w:numId="36">
    <w:abstractNumId w:val="3"/>
  </w:num>
  <w:num w:numId="37">
    <w:abstractNumId w:val="35"/>
  </w:num>
  <w:num w:numId="38">
    <w:abstractNumId w:val="16"/>
  </w:num>
  <w:num w:numId="39">
    <w:abstractNumId w:val="11"/>
  </w:num>
  <w:num w:numId="40">
    <w:abstractNumId w:val="10"/>
  </w:num>
  <w:num w:numId="41">
    <w:abstractNumId w:val="31"/>
  </w:num>
  <w:num w:numId="42">
    <w:abstractNumId w:val="12"/>
  </w:num>
  <w:num w:numId="43">
    <w:abstractNumId w:val="23"/>
  </w:num>
  <w:num w:numId="44">
    <w:abstractNumId w:val="43"/>
  </w:num>
  <w:num w:numId="45">
    <w:abstractNumId w:val="22"/>
  </w:num>
  <w:num w:numId="46">
    <w:abstractNumId w:val="39"/>
  </w:num>
  <w:num w:numId="47">
    <w:abstractNumId w:val="17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3B0"/>
    <w:rsid w:val="004B33B0"/>
    <w:rsid w:val="0052172B"/>
    <w:rsid w:val="00D70A36"/>
    <w:rsid w:val="00D9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FC81A-FC79-4865-9C8E-030C7A93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Мансурова</dc:creator>
  <cp:keywords/>
  <dc:description/>
  <cp:lastModifiedBy>Алина Мансурова</cp:lastModifiedBy>
  <cp:revision>3</cp:revision>
  <dcterms:created xsi:type="dcterms:W3CDTF">2019-12-09T21:52:00Z</dcterms:created>
  <dcterms:modified xsi:type="dcterms:W3CDTF">2019-12-09T22:40:00Z</dcterms:modified>
</cp:coreProperties>
</file>