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9B5779" w14:textId="17DEA612" w:rsidR="00B17857" w:rsidRPr="00B17857" w:rsidRDefault="00B17857" w:rsidP="00B17857">
      <w:pPr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jc w:val="center"/>
        <w:textAlignment w:val="baseline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B17857">
        <w:rPr>
          <w:rFonts w:ascii="Times New Roman" w:eastAsia="Calibri" w:hAnsi="Times New Roman" w:cs="Times New Roman"/>
          <w:b/>
          <w:sz w:val="20"/>
          <w:szCs w:val="20"/>
          <w:u w:val="single"/>
        </w:rPr>
        <w:t>Темы мультимедийных презентаций (реферативных сообщений)</w:t>
      </w:r>
      <w:r w:rsidRPr="00B17857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к зачету</w:t>
      </w:r>
      <w:r w:rsidRPr="00B17857">
        <w:rPr>
          <w:rFonts w:ascii="Times New Roman" w:eastAsia="Calibri" w:hAnsi="Times New Roman" w:cs="Times New Roman"/>
          <w:b/>
          <w:sz w:val="20"/>
          <w:szCs w:val="20"/>
          <w:u w:val="single"/>
        </w:rPr>
        <w:t>:</w:t>
      </w:r>
    </w:p>
    <w:p w14:paraId="7D77A8ED" w14:textId="77777777" w:rsidR="00B17857" w:rsidRPr="00B17857" w:rsidRDefault="00B17857" w:rsidP="00B17857">
      <w:pPr>
        <w:spacing w:after="0" w:line="240" w:lineRule="auto"/>
        <w:ind w:left="426" w:hanging="142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1. Способы воспроизведения клетки.</w:t>
      </w:r>
    </w:p>
    <w:p w14:paraId="7298827B" w14:textId="77777777" w:rsidR="00B17857" w:rsidRPr="00B17857" w:rsidRDefault="00B17857" w:rsidP="00B17857">
      <w:pPr>
        <w:spacing w:after="0" w:line="240" w:lineRule="auto"/>
        <w:ind w:left="426" w:hanging="142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2. Особенности жизненного цикла в зависимости от уровня дифференцировки и специализации клетки.</w:t>
      </w:r>
    </w:p>
    <w:p w14:paraId="5FD2A896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3. Морфологические особенности клетки в детском возрасте.</w:t>
      </w:r>
    </w:p>
    <w:p w14:paraId="2F9A5EBB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4. Межклеточные контакты: прикрепительные и коммуникационные.</w:t>
      </w:r>
    </w:p>
    <w:p w14:paraId="5030F669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5. Средства распознавания: химические клеточные рецепторы.</w:t>
      </w:r>
    </w:p>
    <w:p w14:paraId="016A091E" w14:textId="77777777" w:rsidR="00B17857" w:rsidRPr="00B17857" w:rsidRDefault="00B17857" w:rsidP="00B17857">
      <w:pPr>
        <w:tabs>
          <w:tab w:val="left" w:pos="7935"/>
        </w:tabs>
        <w:overflowPunct w:val="0"/>
        <w:autoSpaceDE w:val="0"/>
        <w:autoSpaceDN w:val="0"/>
        <w:adjustRightInd w:val="0"/>
        <w:spacing w:after="0" w:line="240" w:lineRule="auto"/>
        <w:ind w:left="426" w:hanging="142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6. Сигнальные молекулы: гормоны и цитокины.</w:t>
      </w:r>
      <w:r w:rsidRPr="00B17857">
        <w:rPr>
          <w:rFonts w:ascii="Times New Roman" w:eastAsia="Calibri" w:hAnsi="Times New Roman" w:cs="Times New Roman"/>
          <w:sz w:val="20"/>
          <w:szCs w:val="20"/>
        </w:rPr>
        <w:tab/>
      </w:r>
    </w:p>
    <w:p w14:paraId="5BEC77BF" w14:textId="77777777" w:rsidR="00B17857" w:rsidRPr="00B17857" w:rsidRDefault="00B17857" w:rsidP="00B17857">
      <w:pPr>
        <w:overflowPunct w:val="0"/>
        <w:autoSpaceDE w:val="0"/>
        <w:autoSpaceDN w:val="0"/>
        <w:adjustRightInd w:val="0"/>
        <w:spacing w:after="0" w:line="240" w:lineRule="auto"/>
        <w:ind w:left="426" w:hanging="142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7. Апоптоз – запрограммированная гибель клетки.</w:t>
      </w:r>
    </w:p>
    <w:p w14:paraId="19BACEE7" w14:textId="77777777" w:rsidR="00B17857" w:rsidRPr="00B17857" w:rsidRDefault="00B17857" w:rsidP="00B17857">
      <w:pPr>
        <w:overflowPunct w:val="0"/>
        <w:autoSpaceDE w:val="0"/>
        <w:autoSpaceDN w:val="0"/>
        <w:adjustRightInd w:val="0"/>
        <w:spacing w:after="0" w:line="240" w:lineRule="auto"/>
        <w:ind w:left="426" w:hanging="142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8. Роль ядра и цитоплазмы в передаче и реализации наследственной информации.</w:t>
      </w:r>
    </w:p>
    <w:p w14:paraId="2EA0442B" w14:textId="77777777" w:rsidR="00B17857" w:rsidRPr="00B17857" w:rsidRDefault="00B17857" w:rsidP="00B17857">
      <w:pPr>
        <w:spacing w:after="0" w:line="240" w:lineRule="auto"/>
        <w:ind w:left="426" w:hanging="142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 xml:space="preserve">9. </w:t>
      </w:r>
      <w:r w:rsidRPr="00B17857">
        <w:rPr>
          <w:rFonts w:ascii="Times New Roman" w:eastAsia="Calibri" w:hAnsi="Times New Roman" w:cs="Times New Roman"/>
          <w:color w:val="000000"/>
          <w:sz w:val="20"/>
          <w:szCs w:val="20"/>
        </w:rPr>
        <w:t>Понятие об экстракорпоральном оплодотворении и его значение.</w:t>
      </w:r>
    </w:p>
    <w:p w14:paraId="5563EDB3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 xml:space="preserve">10. </w:t>
      </w:r>
      <w:r w:rsidRPr="00B17857">
        <w:rPr>
          <w:rFonts w:ascii="Times New Roman" w:eastAsia="Calibri" w:hAnsi="Times New Roman" w:cs="Times New Roman"/>
          <w:sz w:val="20"/>
          <w:szCs w:val="20"/>
        </w:rPr>
        <w:t>Теория о двух типах плацентарной трофики по М.Я. Субботину.</w:t>
      </w:r>
    </w:p>
    <w:p w14:paraId="75A2E230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11. Влияние экзокринных и эндокринных факторов на развитие.</w:t>
      </w:r>
    </w:p>
    <w:p w14:paraId="04CC3670" w14:textId="77777777" w:rsidR="00B17857" w:rsidRPr="00B17857" w:rsidRDefault="00B17857" w:rsidP="00B17857">
      <w:pPr>
        <w:spacing w:after="0" w:line="240" w:lineRule="auto"/>
        <w:ind w:left="426" w:hanging="14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17857">
        <w:rPr>
          <w:rFonts w:ascii="Times New Roman" w:eastAsia="Times New Roman" w:hAnsi="Times New Roman" w:cs="Times New Roman"/>
          <w:sz w:val="20"/>
          <w:szCs w:val="20"/>
          <w:lang w:eastAsia="ru-RU"/>
        </w:rPr>
        <w:t>12. Роль микроокружения в развитии гемопоэтических клеток.</w:t>
      </w:r>
    </w:p>
    <w:p w14:paraId="295128DA" w14:textId="77777777" w:rsidR="00B17857" w:rsidRPr="00B17857" w:rsidRDefault="00B17857" w:rsidP="00B17857">
      <w:pPr>
        <w:spacing w:after="0" w:line="240" w:lineRule="auto"/>
        <w:ind w:left="426" w:hanging="14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17857">
        <w:rPr>
          <w:rFonts w:ascii="Times New Roman" w:eastAsia="Times New Roman" w:hAnsi="Times New Roman" w:cs="Times New Roman"/>
          <w:sz w:val="20"/>
          <w:szCs w:val="20"/>
          <w:lang w:eastAsia="ru-RU"/>
        </w:rPr>
        <w:t>13. Особенности гемограммы новорожденного ребенка</w:t>
      </w:r>
    </w:p>
    <w:p w14:paraId="2998F595" w14:textId="77777777" w:rsidR="00B17857" w:rsidRPr="00B17857" w:rsidRDefault="00B17857" w:rsidP="00B17857">
      <w:pPr>
        <w:spacing w:after="0" w:line="240" w:lineRule="auto"/>
        <w:ind w:left="426" w:hanging="14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17857">
        <w:rPr>
          <w:rFonts w:ascii="Times New Roman" w:eastAsia="Times New Roman" w:hAnsi="Times New Roman" w:cs="Times New Roman"/>
          <w:sz w:val="20"/>
          <w:szCs w:val="20"/>
          <w:lang w:eastAsia="ru-RU"/>
        </w:rPr>
        <w:t>14. Биологическое значение лейкоцитарного перекреста у детей.</w:t>
      </w:r>
    </w:p>
    <w:p w14:paraId="6C122C6B" w14:textId="77777777" w:rsidR="00B17857" w:rsidRPr="00B17857" w:rsidRDefault="00B17857" w:rsidP="00B17857">
      <w:pPr>
        <w:spacing w:after="0" w:line="240" w:lineRule="auto"/>
        <w:ind w:left="426" w:hanging="14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17857">
        <w:rPr>
          <w:rFonts w:ascii="Times New Roman" w:eastAsia="Times New Roman" w:hAnsi="Times New Roman" w:cs="Times New Roman"/>
          <w:sz w:val="20"/>
          <w:szCs w:val="20"/>
          <w:lang w:eastAsia="ru-RU"/>
        </w:rPr>
        <w:t>15. Виды гемоглобина в онтогенезе человека и их кислород-связывающая способность.</w:t>
      </w:r>
    </w:p>
    <w:p w14:paraId="103EF62A" w14:textId="77777777" w:rsidR="00B17857" w:rsidRPr="00B17857" w:rsidRDefault="00B17857" w:rsidP="00B17857">
      <w:pPr>
        <w:autoSpaceDN w:val="0"/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16. Физиологическая анемия у ребенка первого года жизни: причины, ее вызывающие.</w:t>
      </w:r>
    </w:p>
    <w:p w14:paraId="5A76754F" w14:textId="77777777" w:rsidR="00B17857" w:rsidRPr="00B17857" w:rsidRDefault="00B17857" w:rsidP="00B17857">
      <w:pPr>
        <w:autoSpaceDN w:val="0"/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>17. Роль бурой жировой ткани в термогенезе.</w:t>
      </w:r>
    </w:p>
    <w:p w14:paraId="0D7F3F8E" w14:textId="77777777" w:rsidR="00B17857" w:rsidRPr="00B17857" w:rsidRDefault="00B17857" w:rsidP="00B17857">
      <w:pPr>
        <w:autoSpaceDN w:val="0"/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 xml:space="preserve">18. Система </w:t>
      </w:r>
      <w:proofErr w:type="spellStart"/>
      <w:r w:rsidRPr="00B17857">
        <w:rPr>
          <w:rFonts w:ascii="Times New Roman" w:eastAsia="Calibri" w:hAnsi="Times New Roman" w:cs="Times New Roman"/>
          <w:iCs/>
          <w:sz w:val="20"/>
          <w:szCs w:val="20"/>
        </w:rPr>
        <w:t>мононуклеарных</w:t>
      </w:r>
      <w:proofErr w:type="spellEnd"/>
      <w:r w:rsidRPr="00B17857">
        <w:rPr>
          <w:rFonts w:ascii="Times New Roman" w:eastAsia="Calibri" w:hAnsi="Times New Roman" w:cs="Times New Roman"/>
          <w:iCs/>
          <w:sz w:val="20"/>
          <w:szCs w:val="20"/>
        </w:rPr>
        <w:t xml:space="preserve"> </w:t>
      </w:r>
      <w:proofErr w:type="gramStart"/>
      <w:r w:rsidRPr="00B17857">
        <w:rPr>
          <w:rFonts w:ascii="Times New Roman" w:eastAsia="Calibri" w:hAnsi="Times New Roman" w:cs="Times New Roman"/>
          <w:iCs/>
          <w:sz w:val="20"/>
          <w:szCs w:val="20"/>
        </w:rPr>
        <w:t>фагоцитов  (</w:t>
      </w:r>
      <w:proofErr w:type="gramEnd"/>
      <w:r w:rsidRPr="00B17857">
        <w:rPr>
          <w:rFonts w:ascii="Times New Roman" w:eastAsia="Calibri" w:hAnsi="Times New Roman" w:cs="Times New Roman"/>
          <w:iCs/>
          <w:sz w:val="20"/>
          <w:szCs w:val="20"/>
        </w:rPr>
        <w:t>МНФ).</w:t>
      </w:r>
    </w:p>
    <w:p w14:paraId="65B5D49E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19. Этапы воспалительной реакции и их морфологическое проявление.</w:t>
      </w:r>
    </w:p>
    <w:p w14:paraId="0BAAADC8" w14:textId="77777777" w:rsidR="00B17857" w:rsidRPr="00B17857" w:rsidRDefault="00B17857" w:rsidP="00B17857">
      <w:pPr>
        <w:suppressAutoHyphens/>
        <w:spacing w:after="0" w:line="200" w:lineRule="atLeast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20. Динамика клеточных элементов в очаге воспаления по стадиям.</w:t>
      </w:r>
    </w:p>
    <w:p w14:paraId="2DD99937" w14:textId="77777777" w:rsidR="00B17857" w:rsidRPr="00B17857" w:rsidRDefault="00B17857" w:rsidP="00B17857">
      <w:pPr>
        <w:suppressAutoHyphens/>
        <w:spacing w:after="0" w:line="200" w:lineRule="atLeast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21. Заживление ран – динамика процесса по стадиям.</w:t>
      </w:r>
    </w:p>
    <w:p w14:paraId="0FD7985E" w14:textId="77777777" w:rsidR="00B17857" w:rsidRPr="00B17857" w:rsidRDefault="00B17857" w:rsidP="00B17857">
      <w:pPr>
        <w:suppressAutoHyphens/>
        <w:spacing w:after="0" w:line="200" w:lineRule="atLeast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22. Хемотаксис - механизм миграции лейкоцитов из сосудов.</w:t>
      </w:r>
    </w:p>
    <w:p w14:paraId="5CFD0944" w14:textId="77777777" w:rsidR="00B17857" w:rsidRPr="00B17857" w:rsidRDefault="00B17857" w:rsidP="00B17857">
      <w:pPr>
        <w:suppressAutoHyphens/>
        <w:spacing w:after="0" w:line="200" w:lineRule="atLeast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23. Стадии фагоцитоза микроорганизмов.</w:t>
      </w:r>
    </w:p>
    <w:p w14:paraId="72595B9A" w14:textId="77777777" w:rsidR="00B17857" w:rsidRPr="00B17857" w:rsidRDefault="00B17857" w:rsidP="00B1785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24. Секреция медиаторов воспаления макрофагами.</w:t>
      </w:r>
    </w:p>
    <w:p w14:paraId="691C2458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color w:val="000000"/>
          <w:sz w:val="20"/>
          <w:szCs w:val="20"/>
        </w:rPr>
        <w:t>25. Особенности регенерации гладкой мышечной ткани у детей разного возраста.</w:t>
      </w:r>
    </w:p>
    <w:p w14:paraId="77AB387B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26. Особенности регенерации поперечнополосатой скелетной мышечной </w:t>
      </w:r>
      <w:proofErr w:type="gramStart"/>
      <w:r w:rsidRPr="00B17857">
        <w:rPr>
          <w:rFonts w:ascii="Times New Roman" w:eastAsia="Calibri" w:hAnsi="Times New Roman" w:cs="Times New Roman"/>
          <w:color w:val="000000"/>
          <w:sz w:val="20"/>
          <w:szCs w:val="20"/>
        </w:rPr>
        <w:t>ткани  у</w:t>
      </w:r>
      <w:proofErr w:type="gramEnd"/>
      <w:r w:rsidRPr="00B17857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детей разного возраста.</w:t>
      </w:r>
    </w:p>
    <w:p w14:paraId="7EA2B1D4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color w:val="000000"/>
          <w:sz w:val="20"/>
          <w:szCs w:val="20"/>
        </w:rPr>
        <w:t>27. Особенности регенерации хрящевых тканей у детей разного возраста.</w:t>
      </w:r>
    </w:p>
    <w:p w14:paraId="428D08A1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>28. Строение кости как органа и особенности переломов в детском возрасте.</w:t>
      </w:r>
    </w:p>
    <w:p w14:paraId="3790D0A5" w14:textId="77777777" w:rsidR="00B17857" w:rsidRPr="00B17857" w:rsidRDefault="00B17857" w:rsidP="00B17857">
      <w:pPr>
        <w:overflowPunct w:val="0"/>
        <w:autoSpaceDE w:val="0"/>
        <w:autoSpaceDN w:val="0"/>
        <w:adjustRightInd w:val="0"/>
        <w:spacing w:after="0" w:line="240" w:lineRule="auto"/>
        <w:ind w:left="426" w:hanging="142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>29. Особенности регенерации костной ткани у детей.</w:t>
      </w:r>
    </w:p>
    <w:p w14:paraId="49A120B5" w14:textId="77777777" w:rsidR="00B17857" w:rsidRPr="00B17857" w:rsidRDefault="00B17857" w:rsidP="00B17857">
      <w:pPr>
        <w:widowControl w:val="0"/>
        <w:suppressAutoHyphens/>
        <w:autoSpaceDE w:val="0"/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>30. Гистологические особенности головного мозга у детей разного возраста.</w:t>
      </w:r>
    </w:p>
    <w:p w14:paraId="4570A6A1" w14:textId="77777777" w:rsidR="00B17857" w:rsidRPr="00B17857" w:rsidRDefault="00B17857" w:rsidP="00B17857">
      <w:pPr>
        <w:widowControl w:val="0"/>
        <w:suppressAutoHyphens/>
        <w:autoSpaceDE w:val="0"/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>31. Гистологические особенности спинного мозга у детей разного возраста.</w:t>
      </w:r>
    </w:p>
    <w:p w14:paraId="0DB55764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>32. Гистологические особенности органов периферической нервной системы у детей разного возраста</w:t>
      </w:r>
    </w:p>
    <w:p w14:paraId="00E65632" w14:textId="77777777" w:rsidR="00B17857" w:rsidRPr="00B17857" w:rsidRDefault="00B17857" w:rsidP="00B17857">
      <w:pPr>
        <w:spacing w:after="0" w:line="240" w:lineRule="auto"/>
        <w:ind w:left="426" w:hanging="142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33. Особенности регенерации мышечных тканей.</w:t>
      </w:r>
    </w:p>
    <w:p w14:paraId="1F857EDA" w14:textId="77777777" w:rsidR="00B17857" w:rsidRPr="00B17857" w:rsidRDefault="00B17857" w:rsidP="00B17857">
      <w:pPr>
        <w:spacing w:after="0" w:line="240" w:lineRule="auto"/>
        <w:ind w:left="426" w:hanging="142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34. Закономерности регенерации соединительных тканей.</w:t>
      </w:r>
    </w:p>
    <w:p w14:paraId="5F603DFF" w14:textId="77777777" w:rsidR="00B17857" w:rsidRPr="00B17857" w:rsidRDefault="00B17857" w:rsidP="00B17857">
      <w:pPr>
        <w:spacing w:after="0" w:line="240" w:lineRule="auto"/>
        <w:ind w:left="426" w:hanging="142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35. Особенности регенерации разных видов эпителия.</w:t>
      </w:r>
    </w:p>
    <w:p w14:paraId="0A374BF3" w14:textId="77777777" w:rsidR="00B17857" w:rsidRPr="00B17857" w:rsidRDefault="00B17857" w:rsidP="00B17857">
      <w:pPr>
        <w:spacing w:after="0" w:line="240" w:lineRule="auto"/>
        <w:ind w:left="426" w:hanging="142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36. Регенерация нервной ткани.</w:t>
      </w:r>
    </w:p>
    <w:p w14:paraId="06695F14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 xml:space="preserve">37. </w:t>
      </w:r>
      <w:r w:rsidRPr="00B17857">
        <w:rPr>
          <w:rFonts w:ascii="Times New Roman" w:eastAsia="Calibri" w:hAnsi="Times New Roman" w:cs="Times New Roman"/>
          <w:bCs/>
          <w:iCs/>
          <w:kern w:val="36"/>
          <w:sz w:val="20"/>
          <w:szCs w:val="20"/>
        </w:rPr>
        <w:t>Возрастные особенности лимфатических сосудов</w:t>
      </w:r>
      <w:r w:rsidRPr="00B17857">
        <w:rPr>
          <w:rFonts w:ascii="Times New Roman" w:eastAsia="Calibri" w:hAnsi="Times New Roman" w:cs="Times New Roman"/>
          <w:iCs/>
          <w:sz w:val="20"/>
          <w:szCs w:val="20"/>
        </w:rPr>
        <w:t>.</w:t>
      </w:r>
    </w:p>
    <w:p w14:paraId="137145C7" w14:textId="77777777" w:rsidR="00B17857" w:rsidRPr="00B17857" w:rsidRDefault="00B17857" w:rsidP="00B17857">
      <w:pPr>
        <w:spacing w:after="0" w:line="240" w:lineRule="auto"/>
        <w:ind w:left="426" w:hanging="142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 xml:space="preserve">38. </w:t>
      </w:r>
      <w:r w:rsidRPr="00B17857">
        <w:rPr>
          <w:rFonts w:ascii="Times New Roman" w:eastAsia="Calibri" w:hAnsi="Times New Roman" w:cs="Times New Roman"/>
          <w:sz w:val="20"/>
          <w:szCs w:val="20"/>
        </w:rPr>
        <w:t>Кровообращение у плода и его изменение после рождения.</w:t>
      </w:r>
    </w:p>
    <w:p w14:paraId="7B8EB004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>39. Стадии пренатального развития органов дыхания.</w:t>
      </w:r>
    </w:p>
    <w:p w14:paraId="2C0389A8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>40. Особенности строения воздухоносных путей у новорождённых и детей раннего возраста.</w:t>
      </w:r>
    </w:p>
    <w:p w14:paraId="1EC4C3C8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>41. Особенности строения лёгких у новорождённых и детей раннего возраста.</w:t>
      </w:r>
    </w:p>
    <w:p w14:paraId="7D9789A6" w14:textId="77777777" w:rsidR="00B17857" w:rsidRPr="00B17857" w:rsidRDefault="00B17857" w:rsidP="00B17857">
      <w:pPr>
        <w:widowControl w:val="0"/>
        <w:autoSpaceDE w:val="0"/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>42. Особенности строения кожи у новорожденных и детей первых лет жизни.</w:t>
      </w:r>
    </w:p>
    <w:p w14:paraId="398895C6" w14:textId="77777777" w:rsidR="00B17857" w:rsidRPr="00B17857" w:rsidRDefault="00B17857" w:rsidP="00B17857">
      <w:pPr>
        <w:widowControl w:val="0"/>
        <w:autoSpaceDE w:val="0"/>
        <w:spacing w:after="0" w:line="240" w:lineRule="auto"/>
        <w:ind w:left="426" w:hanging="142"/>
        <w:rPr>
          <w:rFonts w:ascii="Times New Roman" w:eastAsia="Calibri" w:hAnsi="Times New Roman" w:cs="Times New Roman"/>
          <w:bCs/>
          <w:iCs/>
          <w:color w:val="000000"/>
          <w:kern w:val="36"/>
          <w:sz w:val="20"/>
          <w:szCs w:val="20"/>
        </w:rPr>
      </w:pPr>
      <w:r w:rsidRPr="00B17857">
        <w:rPr>
          <w:rFonts w:ascii="Times New Roman" w:eastAsia="Calibri" w:hAnsi="Times New Roman" w:cs="Times New Roman"/>
          <w:bCs/>
          <w:iCs/>
          <w:color w:val="000000"/>
          <w:kern w:val="36"/>
          <w:sz w:val="20"/>
          <w:szCs w:val="20"/>
        </w:rPr>
        <w:t>43. Особенности кровоснабжения и иннервации кожи детей первых лет жизни.</w:t>
      </w:r>
    </w:p>
    <w:p w14:paraId="47E69922" w14:textId="77777777" w:rsidR="00B17857" w:rsidRPr="00B17857" w:rsidRDefault="00B17857" w:rsidP="00B17857">
      <w:pPr>
        <w:spacing w:after="0" w:line="240" w:lineRule="auto"/>
        <w:ind w:left="426" w:hanging="142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bCs/>
          <w:iCs/>
          <w:color w:val="000000"/>
          <w:kern w:val="36"/>
          <w:sz w:val="20"/>
          <w:szCs w:val="20"/>
        </w:rPr>
        <w:t>44. Особенности строения и функционирования сальных и потовых желёз кожи.</w:t>
      </w:r>
    </w:p>
    <w:p w14:paraId="748D7CC6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 xml:space="preserve">45. Иммунный ответ по клеточному типу. Взаимодействие </w:t>
      </w:r>
      <w:proofErr w:type="spellStart"/>
      <w:r w:rsidRPr="00B17857">
        <w:rPr>
          <w:rFonts w:ascii="Times New Roman" w:eastAsia="Calibri" w:hAnsi="Times New Roman" w:cs="Times New Roman"/>
          <w:iCs/>
          <w:sz w:val="20"/>
          <w:szCs w:val="20"/>
        </w:rPr>
        <w:t>иммуноцитов</w:t>
      </w:r>
      <w:proofErr w:type="spellEnd"/>
      <w:r w:rsidRPr="00B17857">
        <w:rPr>
          <w:rFonts w:ascii="Times New Roman" w:eastAsia="Calibri" w:hAnsi="Times New Roman" w:cs="Times New Roman"/>
          <w:iCs/>
          <w:sz w:val="20"/>
          <w:szCs w:val="20"/>
        </w:rPr>
        <w:t xml:space="preserve"> в ходе иммунного ответа.</w:t>
      </w:r>
    </w:p>
    <w:p w14:paraId="72F8A672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 xml:space="preserve">46. Иммунный ответ по гуморальному типу. Взаимодействие </w:t>
      </w:r>
      <w:proofErr w:type="spellStart"/>
      <w:r w:rsidRPr="00B17857">
        <w:rPr>
          <w:rFonts w:ascii="Times New Roman" w:eastAsia="Calibri" w:hAnsi="Times New Roman" w:cs="Times New Roman"/>
          <w:iCs/>
          <w:sz w:val="20"/>
          <w:szCs w:val="20"/>
        </w:rPr>
        <w:t>иммуноцитов</w:t>
      </w:r>
      <w:proofErr w:type="spellEnd"/>
      <w:r w:rsidRPr="00B17857">
        <w:rPr>
          <w:rFonts w:ascii="Times New Roman" w:eastAsia="Calibri" w:hAnsi="Times New Roman" w:cs="Times New Roman"/>
          <w:iCs/>
          <w:sz w:val="20"/>
          <w:szCs w:val="20"/>
        </w:rPr>
        <w:t xml:space="preserve"> в ходе иммунного ответа.</w:t>
      </w:r>
    </w:p>
    <w:p w14:paraId="4816609E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 xml:space="preserve">47. </w:t>
      </w:r>
      <w:r w:rsidRPr="00B17857">
        <w:rPr>
          <w:rFonts w:ascii="Times New Roman" w:eastAsia="Calibri" w:hAnsi="Times New Roman" w:cs="Times New Roman"/>
          <w:sz w:val="20"/>
          <w:szCs w:val="20"/>
        </w:rPr>
        <w:t>Стадии формирования органов иммунной системы в эмбриональном периоде.</w:t>
      </w:r>
    </w:p>
    <w:p w14:paraId="1D857B52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48. Понятие о 5-ти критических периодах в детском возрасте.</w:t>
      </w:r>
    </w:p>
    <w:p w14:paraId="24D8BE2D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49. Особенности развития центральных органов иммунной системы у детей (красный костный мозг, тимус).</w:t>
      </w:r>
    </w:p>
    <w:p w14:paraId="2A047F78" w14:textId="77777777" w:rsidR="00B17857" w:rsidRPr="00B17857" w:rsidRDefault="00B17857" w:rsidP="00B17857">
      <w:pPr>
        <w:spacing w:after="0" w:line="240" w:lineRule="auto"/>
        <w:ind w:left="426" w:hanging="142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50. Особенности развития периферических органов иммунной системы у детей (лимфатические узлы, селезёнка, миндалины)</w:t>
      </w:r>
    </w:p>
    <w:p w14:paraId="099ADE23" w14:textId="77777777" w:rsidR="00B17857" w:rsidRPr="00B17857" w:rsidRDefault="00B17857" w:rsidP="00B17857">
      <w:pPr>
        <w:widowControl w:val="0"/>
        <w:autoSpaceDE w:val="0"/>
        <w:snapToGrid w:val="0"/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 xml:space="preserve">51. Возрастные изменения гормональных функций эпифиза. </w:t>
      </w:r>
    </w:p>
    <w:p w14:paraId="15489964" w14:textId="77777777" w:rsidR="00B17857" w:rsidRPr="00B17857" w:rsidRDefault="00B17857" w:rsidP="00B17857">
      <w:pPr>
        <w:widowControl w:val="0"/>
        <w:autoSpaceDE w:val="0"/>
        <w:snapToGrid w:val="0"/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52. Варианты строения щитовидной железы новорожденных.</w:t>
      </w:r>
    </w:p>
    <w:p w14:paraId="1D315F68" w14:textId="77777777" w:rsidR="00B17857" w:rsidRPr="00B17857" w:rsidRDefault="00B17857" w:rsidP="00B17857">
      <w:pPr>
        <w:spacing w:after="0" w:line="240" w:lineRule="auto"/>
        <w:ind w:left="426" w:hanging="142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53. Эмбриональное развитие надпочечника. Надпочечник новорожденного.</w:t>
      </w:r>
    </w:p>
    <w:p w14:paraId="0A25D69A" w14:textId="77777777" w:rsidR="00B17857" w:rsidRPr="00B17857" w:rsidRDefault="00B17857" w:rsidP="00B17857">
      <w:pPr>
        <w:widowControl w:val="0"/>
        <w:suppressAutoHyphens/>
        <w:autoSpaceDE w:val="0"/>
        <w:snapToGrid w:val="0"/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 xml:space="preserve">54. Особенности органов полости рта (щеки, губы, язык) у новорожденных. </w:t>
      </w:r>
    </w:p>
    <w:p w14:paraId="68A67FCD" w14:textId="77777777" w:rsidR="00B17857" w:rsidRPr="00B17857" w:rsidRDefault="00B17857" w:rsidP="00B17857">
      <w:pPr>
        <w:widowControl w:val="0"/>
        <w:suppressAutoHyphens/>
        <w:autoSpaceDE w:val="0"/>
        <w:snapToGrid w:val="0"/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 xml:space="preserve">55. Отличия временных и постоянных зубов. </w:t>
      </w:r>
    </w:p>
    <w:p w14:paraId="5681BB9B" w14:textId="77777777" w:rsidR="00B17857" w:rsidRPr="00B17857" w:rsidRDefault="00B17857" w:rsidP="00B17857">
      <w:pPr>
        <w:widowControl w:val="0"/>
        <w:autoSpaceDE w:val="0"/>
        <w:snapToGrid w:val="0"/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56. Прорезывание временных зубов. Теории прорезывания зубов.</w:t>
      </w:r>
    </w:p>
    <w:p w14:paraId="4A0704DF" w14:textId="77777777" w:rsidR="00B17857" w:rsidRPr="00B17857" w:rsidRDefault="00B17857" w:rsidP="00B17857">
      <w:pPr>
        <w:widowControl w:val="0"/>
        <w:autoSpaceDE w:val="0"/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bCs/>
          <w:iCs/>
          <w:color w:val="000000"/>
          <w:kern w:val="36"/>
          <w:sz w:val="20"/>
          <w:szCs w:val="20"/>
        </w:rPr>
        <w:t>57. Возрастные особенности пищеварения в связи с морфологическими особенностями пищеварительной системы.</w:t>
      </w:r>
    </w:p>
    <w:p w14:paraId="0A52B781" w14:textId="77777777" w:rsidR="00B17857" w:rsidRPr="00B17857" w:rsidRDefault="00B17857" w:rsidP="00B17857">
      <w:pPr>
        <w:widowControl w:val="0"/>
        <w:autoSpaceDE w:val="0"/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>58. Особенности м</w:t>
      </w:r>
      <w:r w:rsidRPr="00B17857">
        <w:rPr>
          <w:rFonts w:ascii="Times New Roman" w:eastAsia="Calibri" w:hAnsi="Times New Roman" w:cs="Times New Roman"/>
          <w:sz w:val="20"/>
          <w:szCs w:val="20"/>
        </w:rPr>
        <w:t>оторики кишечника у детей раннего возраста.</w:t>
      </w:r>
    </w:p>
    <w:p w14:paraId="22569732" w14:textId="77777777" w:rsidR="00B17857" w:rsidRPr="00B17857" w:rsidRDefault="00B17857" w:rsidP="00B17857">
      <w:pPr>
        <w:widowControl w:val="0"/>
        <w:autoSpaceDE w:val="0"/>
        <w:snapToGrid w:val="0"/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59. Формирование кишечной микрофлоры у детей первого года жизни</w:t>
      </w:r>
      <w:r w:rsidRPr="00B17857">
        <w:rPr>
          <w:rFonts w:ascii="Times New Roman" w:eastAsia="Calibri" w:hAnsi="Times New Roman" w:cs="Times New Roman"/>
          <w:i/>
          <w:sz w:val="20"/>
          <w:szCs w:val="20"/>
        </w:rPr>
        <w:t>.</w:t>
      </w:r>
    </w:p>
    <w:p w14:paraId="6EF33001" w14:textId="77777777" w:rsidR="00B17857" w:rsidRPr="00B17857" w:rsidRDefault="00B17857" w:rsidP="00B17857">
      <w:pPr>
        <w:widowControl w:val="0"/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60. Особенности строения и функционирования печени у детей.</w:t>
      </w:r>
    </w:p>
    <w:p w14:paraId="02858436" w14:textId="77777777" w:rsidR="00B17857" w:rsidRPr="00B17857" w:rsidRDefault="00B17857" w:rsidP="00B17857">
      <w:pPr>
        <w:tabs>
          <w:tab w:val="left" w:pos="0"/>
        </w:tabs>
        <w:spacing w:after="0" w:line="240" w:lineRule="auto"/>
        <w:ind w:left="426" w:hanging="142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B17857">
        <w:rPr>
          <w:rFonts w:ascii="Times New Roman" w:eastAsia="Times New Roman" w:hAnsi="Times New Roman" w:cs="Times New Roman"/>
          <w:sz w:val="20"/>
          <w:szCs w:val="20"/>
          <w:lang w:eastAsia="ru-RU"/>
        </w:rPr>
        <w:t>61. Особенности строения и функционирования поджелудочной железы у детей.</w:t>
      </w:r>
    </w:p>
    <w:p w14:paraId="572DCA2E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bCs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>62. Строение и особенности функционирования мочевыводящих путей ребенка.</w:t>
      </w:r>
    </w:p>
    <w:p w14:paraId="12B23A41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bCs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63. Развитие органов мочевыделительной системы и различные его нарушения.</w:t>
      </w:r>
    </w:p>
    <w:p w14:paraId="5A719D8A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bCs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64. Становление эндокринной функции почек в онтогенезе человека.</w:t>
      </w:r>
    </w:p>
    <w:p w14:paraId="53B58D60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lastRenderedPageBreak/>
        <w:t>65. Особенности функционирования мочевыделительной системы у детей первого года жизни.</w:t>
      </w:r>
    </w:p>
    <w:p w14:paraId="76FD7855" w14:textId="77777777" w:rsidR="00B17857" w:rsidRPr="00B17857" w:rsidRDefault="00B17857" w:rsidP="00B17857">
      <w:pPr>
        <w:spacing w:after="0" w:line="240" w:lineRule="auto"/>
        <w:ind w:left="426" w:hanging="142"/>
        <w:contextualSpacing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bCs/>
          <w:iCs/>
          <w:kern w:val="36"/>
          <w:sz w:val="20"/>
          <w:szCs w:val="20"/>
        </w:rPr>
        <w:t>66. Стадии пренатального развития мужских половых органов.</w:t>
      </w:r>
    </w:p>
    <w:p w14:paraId="74FE5A9F" w14:textId="77777777" w:rsidR="00B17857" w:rsidRPr="00B17857" w:rsidRDefault="00B17857" w:rsidP="00B17857">
      <w:pPr>
        <w:spacing w:after="0" w:line="240" w:lineRule="auto"/>
        <w:ind w:left="426" w:hanging="142"/>
        <w:contextualSpacing/>
        <w:rPr>
          <w:rFonts w:ascii="Times New Roman" w:eastAsia="Calibri" w:hAnsi="Times New Roman" w:cs="Times New Roman"/>
          <w:bCs/>
          <w:iCs/>
          <w:kern w:val="36"/>
          <w:sz w:val="20"/>
          <w:szCs w:val="20"/>
        </w:rPr>
      </w:pPr>
      <w:r w:rsidRPr="00B17857">
        <w:rPr>
          <w:rFonts w:ascii="Times New Roman" w:eastAsia="Calibri" w:hAnsi="Times New Roman" w:cs="Times New Roman"/>
          <w:bCs/>
          <w:iCs/>
          <w:kern w:val="36"/>
          <w:sz w:val="20"/>
          <w:szCs w:val="20"/>
        </w:rPr>
        <w:t>67. Стадии постнатального развития семенников.</w:t>
      </w:r>
    </w:p>
    <w:p w14:paraId="5CE78ECE" w14:textId="77777777" w:rsidR="00B17857" w:rsidRPr="00B17857" w:rsidRDefault="00B17857" w:rsidP="00B17857">
      <w:pPr>
        <w:spacing w:after="0" w:line="240" w:lineRule="auto"/>
        <w:ind w:left="426" w:hanging="142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B17857">
        <w:rPr>
          <w:rFonts w:ascii="Times New Roman" w:eastAsia="Calibri" w:hAnsi="Times New Roman" w:cs="Times New Roman"/>
          <w:sz w:val="20"/>
          <w:szCs w:val="20"/>
        </w:rPr>
        <w:t>68. Особенности гистологического строения мужских половых органов у детей разного возраста.</w:t>
      </w:r>
    </w:p>
    <w:p w14:paraId="3A5E5738" w14:textId="77777777" w:rsidR="00B17857" w:rsidRPr="00B17857" w:rsidRDefault="00B17857" w:rsidP="00B17857">
      <w:pPr>
        <w:spacing w:after="0" w:line="240" w:lineRule="auto"/>
        <w:ind w:left="426" w:hanging="142"/>
        <w:contextualSpacing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>69. Структурные элементы яичника пубертатного периода.</w:t>
      </w:r>
    </w:p>
    <w:p w14:paraId="5044C5C7" w14:textId="77777777" w:rsidR="00B17857" w:rsidRPr="00B17857" w:rsidRDefault="00B17857" w:rsidP="00B17857">
      <w:pPr>
        <w:spacing w:after="0" w:line="240" w:lineRule="auto"/>
        <w:ind w:left="426" w:hanging="142"/>
        <w:contextualSpacing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>70. Строение матки в разные возрастные периоды.</w:t>
      </w:r>
    </w:p>
    <w:p w14:paraId="7964333D" w14:textId="77777777" w:rsidR="00B17857" w:rsidRPr="00B17857" w:rsidRDefault="00B17857" w:rsidP="00B17857">
      <w:pPr>
        <w:spacing w:after="0" w:line="240" w:lineRule="auto"/>
        <w:ind w:left="426" w:hanging="142"/>
        <w:rPr>
          <w:rFonts w:ascii="Times New Roman" w:eastAsia="Calibri" w:hAnsi="Times New Roman" w:cs="Times New Roman"/>
          <w:iCs/>
          <w:sz w:val="20"/>
          <w:szCs w:val="20"/>
        </w:rPr>
      </w:pPr>
      <w:r w:rsidRPr="00B17857">
        <w:rPr>
          <w:rFonts w:ascii="Times New Roman" w:eastAsia="Calibri" w:hAnsi="Times New Roman" w:cs="Times New Roman"/>
          <w:iCs/>
          <w:sz w:val="20"/>
          <w:szCs w:val="20"/>
        </w:rPr>
        <w:t>71. Становление гормональной функции в разных возрастных периодах.</w:t>
      </w:r>
    </w:p>
    <w:p w14:paraId="140EA419" w14:textId="77777777" w:rsidR="00B17857" w:rsidRPr="00B17857" w:rsidRDefault="00B17857" w:rsidP="00B1785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</w:p>
    <w:p w14:paraId="0B34C44C" w14:textId="77777777" w:rsidR="00AE10AC" w:rsidRDefault="00AE10AC">
      <w:bookmarkStart w:id="0" w:name="_GoBack"/>
      <w:bookmarkEnd w:id="0"/>
    </w:p>
    <w:sectPr w:rsidR="00AE10AC" w:rsidSect="00184E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339A5"/>
    <w:multiLevelType w:val="hybridMultilevel"/>
    <w:tmpl w:val="A96C028C"/>
    <w:lvl w:ilvl="0" w:tplc="1EBEE4A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30C84"/>
    <w:multiLevelType w:val="hybridMultilevel"/>
    <w:tmpl w:val="CDE69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10C"/>
    <w:rsid w:val="005B010C"/>
    <w:rsid w:val="00AE10AC"/>
    <w:rsid w:val="00B1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80700"/>
  <w15:chartTrackingRefBased/>
  <w15:docId w15:val="{EA52867E-7C93-4D0C-9327-855DE8127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708</Words>
  <Characters>4037</Characters>
  <Application>Microsoft Office Word</Application>
  <DocSecurity>0</DocSecurity>
  <Lines>33</Lines>
  <Paragraphs>9</Paragraphs>
  <ScaleCrop>false</ScaleCrop>
  <Company/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2021-04-16T08:28:00Z</dcterms:created>
  <dcterms:modified xsi:type="dcterms:W3CDTF">2021-04-16T08:33:00Z</dcterms:modified>
</cp:coreProperties>
</file>