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01A" w:rsidRDefault="0066178B" w:rsidP="0000501A">
      <w:pPr>
        <w:pStyle w:val="af6"/>
        <w:jc w:val="center"/>
      </w:pPr>
      <w:r>
        <w:rPr>
          <w:rStyle w:val="af2"/>
        </w:rPr>
        <w:t xml:space="preserve">ТЕМА 3 </w:t>
      </w:r>
      <w:r w:rsidR="00FD79F6">
        <w:rPr>
          <w:rStyle w:val="af2"/>
        </w:rPr>
        <w:t xml:space="preserve">– ПАРОДОНТОЛОГИЧЕСКИЕ </w:t>
      </w:r>
      <w:r w:rsidR="0000501A">
        <w:rPr>
          <w:rStyle w:val="af2"/>
        </w:rPr>
        <w:t xml:space="preserve">ИНДЕКСЫ </w:t>
      </w:r>
    </w:p>
    <w:p w:rsidR="00F378E9" w:rsidRDefault="00F378E9" w:rsidP="008B4D24">
      <w:pPr>
        <w:pStyle w:val="2"/>
        <w:numPr>
          <w:ilvl w:val="0"/>
          <w:numId w:val="3"/>
        </w:numPr>
      </w:pPr>
      <w:r>
        <w:t>Индекс нуждаемости в лечении болезней пародонта</w:t>
      </w:r>
    </w:p>
    <w:p w:rsidR="00F378E9" w:rsidRDefault="00F378E9" w:rsidP="00F378E9">
      <w:pPr>
        <w:pStyle w:val="af6"/>
      </w:pPr>
      <w:r>
        <w:t xml:space="preserve">Для определения индекса нуждаемости в лечении болезней пародонта (CPITN) необходимо обследовать окружающие ткани в области 10 зубов (17, 16, 11, 26, 27 и 37, 36, 31, 46, 47). </w:t>
      </w:r>
    </w:p>
    <w:tbl>
      <w:tblPr>
        <w:tblW w:w="5565" w:type="dxa"/>
        <w:tblCellSpacing w:w="7" w:type="dxa"/>
        <w:tblCellMar>
          <w:left w:w="0" w:type="dxa"/>
          <w:right w:w="0" w:type="dxa"/>
        </w:tblCellMar>
        <w:tblLook w:val="04A0" w:firstRow="1" w:lastRow="0" w:firstColumn="1" w:lastColumn="0" w:noHBand="0" w:noVBand="1"/>
      </w:tblPr>
      <w:tblGrid>
        <w:gridCol w:w="1853"/>
        <w:gridCol w:w="1860"/>
        <w:gridCol w:w="1852"/>
      </w:tblGrid>
      <w:tr w:rsidR="00F378E9" w:rsidTr="000A5063">
        <w:trPr>
          <w:tblCellSpacing w:w="7" w:type="dxa"/>
        </w:trPr>
        <w:tc>
          <w:tcPr>
            <w:tcW w:w="1832" w:type="dxa"/>
            <w:hideMark/>
          </w:tcPr>
          <w:p w:rsidR="00F378E9" w:rsidRDefault="00F378E9" w:rsidP="000A5063">
            <w:pPr>
              <w:pStyle w:val="af6"/>
              <w:jc w:val="center"/>
            </w:pPr>
            <w:r>
              <w:t xml:space="preserve">  17/16 </w:t>
            </w:r>
          </w:p>
        </w:tc>
        <w:tc>
          <w:tcPr>
            <w:tcW w:w="1846" w:type="dxa"/>
            <w:hideMark/>
          </w:tcPr>
          <w:p w:rsidR="00F378E9" w:rsidRDefault="00F378E9" w:rsidP="000A5063">
            <w:pPr>
              <w:pStyle w:val="af6"/>
              <w:jc w:val="center"/>
            </w:pPr>
            <w:r>
              <w:t xml:space="preserve">11 </w:t>
            </w:r>
          </w:p>
        </w:tc>
        <w:tc>
          <w:tcPr>
            <w:tcW w:w="1831" w:type="dxa"/>
            <w:hideMark/>
          </w:tcPr>
          <w:p w:rsidR="00F378E9" w:rsidRDefault="00F378E9" w:rsidP="000A5063">
            <w:pPr>
              <w:pStyle w:val="af6"/>
              <w:jc w:val="center"/>
            </w:pPr>
            <w:r>
              <w:t xml:space="preserve">26/27 </w:t>
            </w:r>
          </w:p>
        </w:tc>
      </w:tr>
      <w:tr w:rsidR="00F378E9" w:rsidTr="000A5063">
        <w:trPr>
          <w:tblCellSpacing w:w="7" w:type="dxa"/>
        </w:trPr>
        <w:tc>
          <w:tcPr>
            <w:tcW w:w="1832" w:type="dxa"/>
            <w:hideMark/>
          </w:tcPr>
          <w:p w:rsidR="00F378E9" w:rsidRDefault="00F378E9" w:rsidP="000A5063">
            <w:pPr>
              <w:pStyle w:val="af6"/>
              <w:jc w:val="center"/>
            </w:pPr>
            <w:r>
              <w:t xml:space="preserve">47/46 </w:t>
            </w:r>
          </w:p>
        </w:tc>
        <w:tc>
          <w:tcPr>
            <w:tcW w:w="1846" w:type="dxa"/>
            <w:hideMark/>
          </w:tcPr>
          <w:p w:rsidR="00F378E9" w:rsidRDefault="00F378E9" w:rsidP="000A5063">
            <w:pPr>
              <w:pStyle w:val="af6"/>
              <w:jc w:val="center"/>
            </w:pPr>
            <w:r>
              <w:t xml:space="preserve">31 </w:t>
            </w:r>
          </w:p>
        </w:tc>
        <w:tc>
          <w:tcPr>
            <w:tcW w:w="1831" w:type="dxa"/>
            <w:hideMark/>
          </w:tcPr>
          <w:p w:rsidR="00F378E9" w:rsidRDefault="00F378E9" w:rsidP="000A5063">
            <w:pPr>
              <w:pStyle w:val="af6"/>
              <w:jc w:val="center"/>
            </w:pPr>
            <w:r>
              <w:t xml:space="preserve">36/37 </w:t>
            </w:r>
          </w:p>
        </w:tc>
      </w:tr>
    </w:tbl>
    <w:p w:rsidR="00F378E9" w:rsidRDefault="00F378E9" w:rsidP="00F378E9">
      <w:pPr>
        <w:pStyle w:val="af6"/>
      </w:pPr>
      <w:r>
        <w:t xml:space="preserve"> Указанная группа зубов создает наиболее полное представление о состоянии тканей пародонта обеих челюстей. </w:t>
      </w:r>
    </w:p>
    <w:p w:rsidR="00F378E9" w:rsidRDefault="00F378E9" w:rsidP="00F378E9">
      <w:pPr>
        <w:pStyle w:val="af6"/>
      </w:pPr>
      <w:r>
        <w:t xml:space="preserve">Исследование проводят методом зондирования. При помощи специального (пуговчатого) зонда выявляют кровоточивость десен, наличие над- и </w:t>
      </w:r>
      <w:proofErr w:type="spellStart"/>
      <w:r>
        <w:t>поддесневого</w:t>
      </w:r>
      <w:proofErr w:type="spellEnd"/>
      <w:r>
        <w:t xml:space="preserve"> «зубного камня», клинического кармана. </w:t>
      </w:r>
    </w:p>
    <w:p w:rsidR="00F378E9" w:rsidRDefault="00F378E9" w:rsidP="00F378E9">
      <w:pPr>
        <w:pStyle w:val="af6"/>
      </w:pPr>
      <w:r>
        <w:rPr>
          <w:rStyle w:val="af2"/>
          <w:i/>
          <w:iCs/>
        </w:rPr>
        <w:t>Оценка индекса СРITN производится следующими кодами:</w:t>
      </w:r>
    </w:p>
    <w:p w:rsidR="00F378E9" w:rsidRDefault="00F378E9" w:rsidP="00F378E9">
      <w:pPr>
        <w:pStyle w:val="af6"/>
      </w:pPr>
      <w:r>
        <w:rPr>
          <w:rStyle w:val="af2"/>
        </w:rPr>
        <w:t>0</w:t>
      </w:r>
      <w:r>
        <w:t xml:space="preserve"> - отсутствие признаков заболевания,</w:t>
      </w:r>
    </w:p>
    <w:p w:rsidR="00F378E9" w:rsidRDefault="00F378E9" w:rsidP="00F378E9">
      <w:pPr>
        <w:pStyle w:val="af6"/>
      </w:pPr>
      <w:r>
        <w:rPr>
          <w:rStyle w:val="af2"/>
        </w:rPr>
        <w:t xml:space="preserve">1 </w:t>
      </w:r>
      <w:r>
        <w:t xml:space="preserve">- кровоточивость после зондирования, </w:t>
      </w:r>
      <w:proofErr w:type="spellStart"/>
      <w:r>
        <w:t>десневой</w:t>
      </w:r>
      <w:proofErr w:type="spellEnd"/>
      <w:r>
        <w:t xml:space="preserve"> край слегка воспален;</w:t>
      </w:r>
    </w:p>
    <w:p w:rsidR="00F378E9" w:rsidRDefault="00F378E9" w:rsidP="00F378E9">
      <w:pPr>
        <w:pStyle w:val="af6"/>
      </w:pPr>
      <w:r>
        <w:rPr>
          <w:rStyle w:val="af2"/>
        </w:rPr>
        <w:t>2</w:t>
      </w:r>
      <w:r>
        <w:t xml:space="preserve"> - над- и </w:t>
      </w:r>
      <w:proofErr w:type="spellStart"/>
      <w:r>
        <w:t>поддесневой</w:t>
      </w:r>
      <w:proofErr w:type="spellEnd"/>
      <w:r>
        <w:t xml:space="preserve"> камень, </w:t>
      </w:r>
      <w:proofErr w:type="spellStart"/>
      <w:r>
        <w:t>десневая</w:t>
      </w:r>
      <w:proofErr w:type="spellEnd"/>
      <w:r>
        <w:t xml:space="preserve"> бороздка - до 3 мм;</w:t>
      </w:r>
    </w:p>
    <w:p w:rsidR="00F378E9" w:rsidRDefault="00F378E9" w:rsidP="00F378E9">
      <w:pPr>
        <w:pStyle w:val="af6"/>
      </w:pPr>
      <w:r>
        <w:rPr>
          <w:rStyle w:val="af2"/>
        </w:rPr>
        <w:t>3</w:t>
      </w:r>
      <w:r>
        <w:t xml:space="preserve"> - патологический зубодесневой карман 4-5 мм;</w:t>
      </w:r>
    </w:p>
    <w:p w:rsidR="00F378E9" w:rsidRDefault="00F378E9" w:rsidP="00F378E9">
      <w:pPr>
        <w:pStyle w:val="af6"/>
      </w:pPr>
      <w:r>
        <w:rPr>
          <w:rStyle w:val="af2"/>
        </w:rPr>
        <w:t>4</w:t>
      </w:r>
      <w:r>
        <w:t xml:space="preserve"> - патологический зубодесневой карман 6 мм и более.</w:t>
      </w:r>
    </w:p>
    <w:p w:rsidR="00F378E9" w:rsidRDefault="00F378E9" w:rsidP="00F378E9">
      <w:pPr>
        <w:pStyle w:val="af6"/>
        <w:spacing w:before="0" w:beforeAutospacing="0" w:after="0" w:afterAutospacing="0"/>
        <w:ind w:left="1800"/>
      </w:pPr>
      <w:r>
        <w:t>Сумма балов обследованных зубов</w:t>
      </w:r>
    </w:p>
    <w:p w:rsidR="00F378E9" w:rsidRDefault="00F378E9" w:rsidP="00F378E9">
      <w:pPr>
        <w:pStyle w:val="af6"/>
        <w:spacing w:before="0" w:beforeAutospacing="0" w:after="0" w:afterAutospacing="0"/>
      </w:pPr>
      <w:r>
        <w:rPr>
          <w:rStyle w:val="af2"/>
          <w:i/>
          <w:iCs/>
        </w:rPr>
        <w:t>Индекс СРITN</w:t>
      </w:r>
      <w:r>
        <w:t xml:space="preserve"> =-------------------------------------------------------</w:t>
      </w:r>
    </w:p>
    <w:p w:rsidR="00F378E9" w:rsidRDefault="00F378E9" w:rsidP="00F378E9">
      <w:pPr>
        <w:pStyle w:val="af6"/>
        <w:spacing w:before="0" w:beforeAutospacing="0" w:after="0" w:afterAutospacing="0"/>
        <w:ind w:left="3600"/>
      </w:pPr>
      <w:r>
        <w:t>6</w:t>
      </w:r>
    </w:p>
    <w:p w:rsidR="00F378E9" w:rsidRDefault="00F378E9" w:rsidP="00F378E9">
      <w:pPr>
        <w:pStyle w:val="af6"/>
        <w:spacing w:before="0" w:beforeAutospacing="0" w:after="0" w:afterAutospacing="0"/>
      </w:pPr>
      <w:r>
        <w:rPr>
          <w:rStyle w:val="af2"/>
          <w:i/>
          <w:iCs/>
        </w:rPr>
        <w:t>Критерии оценки:</w:t>
      </w:r>
    </w:p>
    <w:p w:rsidR="00F378E9" w:rsidRDefault="00F378E9" w:rsidP="00F378E9">
      <w:pPr>
        <w:pStyle w:val="af6"/>
        <w:spacing w:before="0" w:beforeAutospacing="0" w:after="0" w:afterAutospacing="0"/>
      </w:pPr>
      <w:r>
        <w:rPr>
          <w:rStyle w:val="af2"/>
          <w:i/>
          <w:iCs/>
        </w:rPr>
        <w:t>0 баллов</w:t>
      </w:r>
      <w:r>
        <w:t xml:space="preserve"> – лечение не требуется.</w:t>
      </w:r>
    </w:p>
    <w:p w:rsidR="00F378E9" w:rsidRDefault="00F378E9" w:rsidP="00F378E9">
      <w:pPr>
        <w:pStyle w:val="af6"/>
        <w:spacing w:before="0" w:beforeAutospacing="0" w:after="0" w:afterAutospacing="0"/>
      </w:pPr>
      <w:r>
        <w:rPr>
          <w:rStyle w:val="af2"/>
          <w:i/>
          <w:iCs/>
        </w:rPr>
        <w:t>1 балл</w:t>
      </w:r>
      <w:r>
        <w:t xml:space="preserve"> – обучение индивидуальной гигиене полости рта и контроль за гигиеническим состоянием</w:t>
      </w:r>
    </w:p>
    <w:p w:rsidR="00F378E9" w:rsidRDefault="00F378E9" w:rsidP="00F378E9">
      <w:pPr>
        <w:pStyle w:val="af6"/>
        <w:spacing w:before="0" w:beforeAutospacing="0" w:after="0" w:afterAutospacing="0"/>
      </w:pPr>
      <w:r>
        <w:rPr>
          <w:rStyle w:val="af2"/>
          <w:i/>
          <w:iCs/>
        </w:rPr>
        <w:t>2-3 балла</w:t>
      </w:r>
      <w:r>
        <w:t xml:space="preserve"> – профессиональная гигиена полости рта и обучение ИГПР</w:t>
      </w:r>
    </w:p>
    <w:p w:rsidR="00F378E9" w:rsidRDefault="00F378E9" w:rsidP="00F378E9">
      <w:pPr>
        <w:pStyle w:val="af6"/>
        <w:spacing w:before="0" w:beforeAutospacing="0" w:after="0" w:afterAutospacing="0"/>
      </w:pPr>
      <w:r>
        <w:rPr>
          <w:rStyle w:val="af2"/>
          <w:i/>
          <w:iCs/>
        </w:rPr>
        <w:t>4 балла</w:t>
      </w:r>
      <w:r>
        <w:t xml:space="preserve"> – необходимо комплексное лечение заболеваний пародонта.</w:t>
      </w:r>
    </w:p>
    <w:p w:rsidR="00F378E9" w:rsidRDefault="00F378E9" w:rsidP="00F378E9">
      <w:pPr>
        <w:pStyle w:val="af6"/>
      </w:pPr>
      <w:r>
        <w:t xml:space="preserve"> В соответствующих ячейках регистрируют состояние лишь 6 зубов. При обследовании пародонта зубов 17 и 16, 26 и 27, 36 и 37, 46 и 47 учитывают коды, соответствующие более тяжелому состоянию. Например, если в области зуба 17 обнаружена кровоточивость, а в области 16 – «зубной камень», то в ячейку заносят код, обозначающий «зубной камень», т.е. 2. </w:t>
      </w:r>
    </w:p>
    <w:p w:rsidR="00F378E9" w:rsidRDefault="00F378E9" w:rsidP="00F378E9">
      <w:pPr>
        <w:pStyle w:val="af6"/>
      </w:pPr>
      <w:r>
        <w:t xml:space="preserve">Если какой-либо из указанных зубов отсутствует, то осматривают зуб, стоящий рядом в зубном ряду. При отсутствии и рядом стоящего зуба ячейку перечеркивают по диагонали и не включают в сводных результатах. </w:t>
      </w: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Pr="00397330" w:rsidRDefault="00F378E9" w:rsidP="008B4D24">
      <w:pPr>
        <w:pStyle w:val="af6"/>
        <w:numPr>
          <w:ilvl w:val="0"/>
          <w:numId w:val="3"/>
        </w:numPr>
        <w:jc w:val="center"/>
        <w:rPr>
          <w:sz w:val="28"/>
        </w:rPr>
      </w:pPr>
      <w:r w:rsidRPr="00397330">
        <w:rPr>
          <w:b/>
          <w:bCs/>
          <w:sz w:val="28"/>
        </w:rPr>
        <w:lastRenderedPageBreak/>
        <w:t xml:space="preserve">Коммунальный </w:t>
      </w:r>
      <w:proofErr w:type="spellStart"/>
      <w:r w:rsidRPr="00397330">
        <w:rPr>
          <w:b/>
          <w:bCs/>
          <w:sz w:val="28"/>
        </w:rPr>
        <w:t>пародонтальный</w:t>
      </w:r>
      <w:proofErr w:type="spellEnd"/>
      <w:r w:rsidRPr="00397330">
        <w:rPr>
          <w:b/>
          <w:bCs/>
          <w:sz w:val="28"/>
        </w:rPr>
        <w:t xml:space="preserve"> индекс (CPI).</w:t>
      </w:r>
    </w:p>
    <w:p w:rsidR="00F378E9" w:rsidRDefault="00F378E9" w:rsidP="00F378E9">
      <w:pPr>
        <w:pStyle w:val="af6"/>
      </w:pPr>
      <w:r>
        <w:t xml:space="preserve">Для определения этого индекса используются три показателя </w:t>
      </w:r>
      <w:proofErr w:type="spellStart"/>
      <w:r>
        <w:t>пародонтального</w:t>
      </w:r>
      <w:proofErr w:type="spellEnd"/>
      <w:r>
        <w:t xml:space="preserve"> статуса: наличие кровоточивости десен, зубного камня и </w:t>
      </w:r>
      <w:proofErr w:type="spellStart"/>
      <w:r>
        <w:t>пародонтальных</w:t>
      </w:r>
      <w:proofErr w:type="spellEnd"/>
      <w:r>
        <w:t xml:space="preserve"> карманов.</w:t>
      </w:r>
    </w:p>
    <w:p w:rsidR="00F378E9" w:rsidRDefault="00F378E9" w:rsidP="00F378E9">
      <w:pPr>
        <w:pStyle w:val="af6"/>
      </w:pPr>
      <w:r>
        <w:t>Применяется специально разработанный легкий CPI (</w:t>
      </w:r>
      <w:proofErr w:type="spellStart"/>
      <w:r>
        <w:t>пародонтальный</w:t>
      </w:r>
      <w:proofErr w:type="spellEnd"/>
      <w:r>
        <w:t>) зонд с шариком на конце, диаметром 0,5мм. Зонд имеет черную метку между 3,5мм и 5,5мм и черное кольцо на уровне 8,5мм и 11,5мм от кончика зонда.</w:t>
      </w:r>
    </w:p>
    <w:p w:rsidR="00F378E9" w:rsidRDefault="00F378E9" w:rsidP="00F378E9">
      <w:pPr>
        <w:pStyle w:val="af6"/>
      </w:pPr>
      <w:r>
        <w:t>Для определения индекса полость рта делится на секстанты, включающие следующие группы зубов: 17-14, 13-23, 24-27, 37-34, 33-43, 44-47. У взрослых (20 лет и старше) осматривают 10 следующих так называемых индексных зубов: 17, 16,11, 26, 27, 37, 36, 31,46,47.</w:t>
      </w:r>
    </w:p>
    <w:p w:rsidR="00F378E9" w:rsidRDefault="00F378E9" w:rsidP="00F378E9">
      <w:pPr>
        <w:pStyle w:val="af6"/>
      </w:pPr>
      <w:r>
        <w:t xml:space="preserve">У пациентов моложе 20 лет оценивают только 6 индексных зубов — 16, 11, 26, 36, 31 и 46, чтобы избежать неточностей, связанных с ошибочной диагностикой </w:t>
      </w:r>
      <w:proofErr w:type="spellStart"/>
      <w:r>
        <w:t>пародонтальных</w:t>
      </w:r>
      <w:proofErr w:type="spellEnd"/>
      <w:r>
        <w:t xml:space="preserve"> карманов при прорезывании постоянных зубов. При осмотре детей до 15 лет измерения глубины </w:t>
      </w:r>
      <w:proofErr w:type="spellStart"/>
      <w:r>
        <w:t>пародонтальных</w:t>
      </w:r>
      <w:proofErr w:type="spellEnd"/>
      <w:r>
        <w:t xml:space="preserve"> карманов, как правило, не проводится, а регистрируются только кровоточивость и зубной камень.</w:t>
      </w:r>
    </w:p>
    <w:p w:rsidR="00F378E9" w:rsidRDefault="00F378E9" w:rsidP="00F378E9">
      <w:pPr>
        <w:pStyle w:val="af6"/>
      </w:pPr>
      <w:r>
        <w:t xml:space="preserve">Выявление </w:t>
      </w:r>
      <w:proofErr w:type="spellStart"/>
      <w:r>
        <w:t>пародонтальных</w:t>
      </w:r>
      <w:proofErr w:type="spellEnd"/>
      <w:r>
        <w:t xml:space="preserve"> карманов и зубного камня проводится с помощью </w:t>
      </w:r>
      <w:proofErr w:type="spellStart"/>
      <w:r>
        <w:t>пародонтального</w:t>
      </w:r>
      <w:proofErr w:type="spellEnd"/>
      <w:r>
        <w:t xml:space="preserve"> зонда. При зондировании в участке индексного зуба зонд используется как "чувствительный" инструмент для определения глубины кармана и выявления </w:t>
      </w:r>
      <w:proofErr w:type="spellStart"/>
      <w:r>
        <w:t>поддесневого</w:t>
      </w:r>
      <w:proofErr w:type="spellEnd"/>
      <w:r>
        <w:t xml:space="preserve"> зубного камня и кровоточивости. Сила, которая используется при зондировании, не должна превышать 20г. Практическим тестом для установления этой силы является помещение зонда под ноготь большого пальца и нажатие до появления чувства дискомфорта. Выявление </w:t>
      </w:r>
      <w:proofErr w:type="spellStart"/>
      <w:r>
        <w:t>поддесневого</w:t>
      </w:r>
      <w:proofErr w:type="spellEnd"/>
      <w:r>
        <w:t xml:space="preserve"> зубного камня проводится с самым минимальным усилием, позволяющим шарику зонда продвигаться вдоль поверхности зуба. Если пациент во время зондирования испытывает боль, это указывает на применение излишнего усилия.</w:t>
      </w:r>
    </w:p>
    <w:p w:rsidR="00F378E9" w:rsidRDefault="00F378E9" w:rsidP="00F378E9">
      <w:pPr>
        <w:pStyle w:val="af6"/>
      </w:pPr>
      <w:r>
        <w:t xml:space="preserve">Для зондирования шарик зонда нужно осторожно поместить в </w:t>
      </w:r>
      <w:proofErr w:type="spellStart"/>
      <w:r>
        <w:t>десневую</w:t>
      </w:r>
      <w:proofErr w:type="spellEnd"/>
      <w:r>
        <w:t xml:space="preserve"> борозду или карман и прозондировать на всем протяжении.</w:t>
      </w:r>
    </w:p>
    <w:p w:rsidR="00F378E9" w:rsidRDefault="00F378E9" w:rsidP="00F378E9">
      <w:pPr>
        <w:pStyle w:val="af6"/>
      </w:pPr>
      <w:r>
        <w:rPr>
          <w:i/>
          <w:iCs/>
        </w:rPr>
        <w:t>Критерии оценки:</w:t>
      </w:r>
    </w:p>
    <w:p w:rsidR="00F378E9" w:rsidRDefault="00F378E9" w:rsidP="00F378E9">
      <w:pPr>
        <w:pStyle w:val="af6"/>
        <w:spacing w:before="0" w:beforeAutospacing="0" w:after="0" w:afterAutospacing="0"/>
      </w:pPr>
      <w:r>
        <w:t>0 — нет признаков поражения;</w:t>
      </w:r>
    </w:p>
    <w:p w:rsidR="00F378E9" w:rsidRDefault="00F378E9" w:rsidP="00F378E9">
      <w:pPr>
        <w:pStyle w:val="af6"/>
        <w:spacing w:before="0" w:beforeAutospacing="0" w:after="0" w:afterAutospacing="0"/>
      </w:pPr>
      <w:r>
        <w:t>1 — кровоточивость, спонтанная или после зондирования, видимая в стоматологическом зеркале;</w:t>
      </w:r>
    </w:p>
    <w:p w:rsidR="00F378E9" w:rsidRDefault="00F378E9" w:rsidP="00F378E9">
      <w:pPr>
        <w:pStyle w:val="af6"/>
        <w:spacing w:before="0" w:beforeAutospacing="0" w:after="0" w:afterAutospacing="0"/>
      </w:pPr>
      <w:r>
        <w:t>2 — камень, выявленный во время зондирования, но при этом весь черный</w:t>
      </w:r>
    </w:p>
    <w:p w:rsidR="00F378E9" w:rsidRDefault="00F378E9" w:rsidP="00F378E9">
      <w:pPr>
        <w:pStyle w:val="af6"/>
        <w:spacing w:before="0" w:beforeAutospacing="0" w:after="0" w:afterAutospacing="0"/>
      </w:pPr>
      <w:r>
        <w:t>участок зонда виден;</w:t>
      </w:r>
    </w:p>
    <w:p w:rsidR="00F378E9" w:rsidRDefault="00F378E9" w:rsidP="00F378E9">
      <w:pPr>
        <w:pStyle w:val="af6"/>
        <w:spacing w:before="0" w:beforeAutospacing="0" w:after="0" w:afterAutospacing="0"/>
      </w:pPr>
      <w:r>
        <w:t>3 — карман 4-5мм (</w:t>
      </w:r>
      <w:proofErr w:type="spellStart"/>
      <w:r>
        <w:t>пародонтальный</w:t>
      </w:r>
      <w:proofErr w:type="spellEnd"/>
      <w:r>
        <w:t xml:space="preserve"> карман в участке черной метки зонда);</w:t>
      </w:r>
    </w:p>
    <w:p w:rsidR="00F378E9" w:rsidRDefault="00F378E9" w:rsidP="00F378E9">
      <w:pPr>
        <w:pStyle w:val="af6"/>
        <w:spacing w:before="0" w:beforeAutospacing="0" w:after="0" w:afterAutospacing="0"/>
      </w:pPr>
      <w:r>
        <w:t>4 — карман 6мм или больше (черный участок зонда не виден);</w:t>
      </w:r>
    </w:p>
    <w:p w:rsidR="00F378E9" w:rsidRDefault="00F378E9" w:rsidP="00F378E9">
      <w:pPr>
        <w:pStyle w:val="af6"/>
        <w:spacing w:before="0" w:beforeAutospacing="0" w:after="0" w:afterAutospacing="0"/>
      </w:pPr>
      <w:r>
        <w:t>X — исключенный секстант (если в секстанте менее 2 зубов);</w:t>
      </w:r>
    </w:p>
    <w:p w:rsidR="00F378E9" w:rsidRDefault="00F378E9" w:rsidP="00F378E9">
      <w:pPr>
        <w:pStyle w:val="af6"/>
        <w:spacing w:before="0" w:beforeAutospacing="0" w:after="0" w:afterAutospacing="0"/>
      </w:pPr>
      <w:r>
        <w:t>9 — не регистрируется.</w:t>
      </w:r>
    </w:p>
    <w:p w:rsidR="00F378E9" w:rsidRDefault="00F378E9" w:rsidP="00F378E9">
      <w:pPr>
        <w:suppressAutoHyphens/>
        <w:spacing w:after="0"/>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Pr="00A0015B" w:rsidRDefault="00F378E9" w:rsidP="008B4D24">
      <w:pPr>
        <w:pStyle w:val="af6"/>
        <w:numPr>
          <w:ilvl w:val="0"/>
          <w:numId w:val="3"/>
        </w:numPr>
        <w:jc w:val="center"/>
        <w:rPr>
          <w:sz w:val="28"/>
        </w:rPr>
      </w:pPr>
      <w:r w:rsidRPr="00A0015B">
        <w:rPr>
          <w:b/>
          <w:bCs/>
          <w:sz w:val="28"/>
        </w:rPr>
        <w:lastRenderedPageBreak/>
        <w:t xml:space="preserve">Комплексный </w:t>
      </w:r>
      <w:proofErr w:type="spellStart"/>
      <w:r w:rsidRPr="00A0015B">
        <w:rPr>
          <w:b/>
          <w:bCs/>
          <w:sz w:val="28"/>
        </w:rPr>
        <w:t>пародонтальный</w:t>
      </w:r>
      <w:proofErr w:type="spellEnd"/>
      <w:r w:rsidRPr="00A0015B">
        <w:rPr>
          <w:b/>
          <w:bCs/>
          <w:sz w:val="28"/>
        </w:rPr>
        <w:t xml:space="preserve"> индекс КПИ.</w:t>
      </w:r>
      <w:r w:rsidRPr="00A0015B">
        <w:rPr>
          <w:sz w:val="28"/>
        </w:rPr>
        <w:t xml:space="preserve"> Разработан в ММСИ в 1987г.</w:t>
      </w:r>
      <w:r>
        <w:rPr>
          <w:sz w:val="28"/>
        </w:rPr>
        <w:t xml:space="preserve"> (по </w:t>
      </w:r>
      <w:proofErr w:type="spellStart"/>
      <w:r>
        <w:rPr>
          <w:sz w:val="28"/>
        </w:rPr>
        <w:t>Леус</w:t>
      </w:r>
      <w:proofErr w:type="spellEnd"/>
      <w:r>
        <w:rPr>
          <w:sz w:val="28"/>
        </w:rPr>
        <w:t>)</w:t>
      </w:r>
    </w:p>
    <w:p w:rsidR="00F378E9" w:rsidRDefault="00F378E9" w:rsidP="00F378E9">
      <w:pPr>
        <w:pStyle w:val="af6"/>
      </w:pPr>
      <w:r>
        <w:t xml:space="preserve">Методика определения: визуально при помощи обычного набора стоматологических инструментов определяют наличие зубного камня, кровоточивость десен, </w:t>
      </w:r>
      <w:proofErr w:type="spellStart"/>
      <w:r>
        <w:t>поддесневой</w:t>
      </w:r>
      <w:proofErr w:type="spellEnd"/>
      <w:r>
        <w:t xml:space="preserve"> зубной камень, </w:t>
      </w:r>
      <w:proofErr w:type="spellStart"/>
      <w:r>
        <w:t>пародонтальные</w:t>
      </w:r>
      <w:proofErr w:type="spellEnd"/>
      <w:r>
        <w:t xml:space="preserve"> карманы, патологическую подвижность зубов и при наличии признака, независимо от его тяжести (количества), регистрируют в цифровом выражении для каждого обследованного зуба. При наличии нескольких признаков регистрируют тот, который имеет большее цифровое выражение.</w:t>
      </w:r>
    </w:p>
    <w:p w:rsidR="00F378E9" w:rsidRDefault="00F378E9" w:rsidP="00F378E9">
      <w:pPr>
        <w:pStyle w:val="af6"/>
      </w:pPr>
      <w:r>
        <w:rPr>
          <w:i/>
          <w:iCs/>
        </w:rPr>
        <w:t>Критерии оценки</w:t>
      </w:r>
      <w:r>
        <w:t>:</w:t>
      </w:r>
    </w:p>
    <w:p w:rsidR="00F378E9" w:rsidRDefault="00F378E9" w:rsidP="00F378E9">
      <w:r>
        <w:t>0 — патологических отклонений не определяется;</w:t>
      </w:r>
      <w:r w:rsidRPr="004D696B">
        <w:t xml:space="preserve"> </w:t>
      </w:r>
      <w:r>
        <w:t xml:space="preserve">здоровый периодонт, чистый зуб; </w:t>
      </w:r>
      <w:r>
        <w:br/>
      </w:r>
      <w:r>
        <w:br/>
        <w:t>1 — зубной налет;</w:t>
      </w:r>
    </w:p>
    <w:p w:rsidR="00F378E9" w:rsidRDefault="00F378E9" w:rsidP="00F378E9">
      <w:r>
        <w:t xml:space="preserve">2 — кровоточивость при легком зондировании зубодесневого желобка (кармана); </w:t>
      </w:r>
      <w:r>
        <w:br/>
      </w:r>
      <w:r>
        <w:br/>
        <w:t>3 — зубной камень;</w:t>
      </w:r>
    </w:p>
    <w:p w:rsidR="00F378E9" w:rsidRDefault="00F378E9" w:rsidP="00F378E9">
      <w:pPr>
        <w:pStyle w:val="af6"/>
      </w:pPr>
      <w:r>
        <w:t xml:space="preserve">4 — </w:t>
      </w:r>
      <w:proofErr w:type="spellStart"/>
      <w:r>
        <w:t>пародонтальный</w:t>
      </w:r>
      <w:proofErr w:type="spellEnd"/>
      <w:r>
        <w:t xml:space="preserve"> карман;</w:t>
      </w:r>
    </w:p>
    <w:p w:rsidR="00F378E9" w:rsidRPr="00F378E9" w:rsidRDefault="00F378E9" w:rsidP="00F378E9">
      <w:pPr>
        <w:pStyle w:val="af6"/>
      </w:pPr>
      <w:r>
        <w:t>5 — подвижность зуба.</w:t>
      </w:r>
    </w:p>
    <w:p w:rsidR="00F378E9" w:rsidRPr="00D32994" w:rsidRDefault="00F378E9" w:rsidP="00F378E9">
      <w:pPr>
        <w:jc w:val="center"/>
      </w:pPr>
      <w:r>
        <w:t xml:space="preserve">При наличии нескольких признаков регистрируется более тяжелое поражение (более высокий балл). </w:t>
      </w:r>
    </w:p>
    <w:p w:rsidR="00F378E9" w:rsidRPr="004D696B" w:rsidRDefault="00F378E9" w:rsidP="00F378E9">
      <w:pPr>
        <w:jc w:val="center"/>
      </w:pPr>
      <w:r>
        <w:t>В</w:t>
      </w:r>
      <w:r w:rsidRPr="004D696B">
        <w:t xml:space="preserve"> </w:t>
      </w:r>
      <w:r>
        <w:t xml:space="preserve">сомнительных случаях предпочтение отдается </w:t>
      </w:r>
      <w:proofErr w:type="spellStart"/>
      <w:r>
        <w:t>гиподиагностике</w:t>
      </w:r>
      <w:proofErr w:type="spellEnd"/>
      <w:r>
        <w:t>.</w:t>
      </w:r>
    </w:p>
    <w:p w:rsidR="00F378E9" w:rsidRPr="004D696B" w:rsidRDefault="00F378E9" w:rsidP="00F378E9">
      <w:pPr>
        <w:jc w:val="center"/>
        <w:rPr>
          <w:sz w:val="28"/>
        </w:rPr>
      </w:pPr>
      <w:r>
        <w:br/>
      </w:r>
      <w:r>
        <w:br/>
      </w:r>
      <w:r w:rsidRPr="004D696B">
        <w:rPr>
          <w:sz w:val="28"/>
        </w:rPr>
        <w:t>В зависимости от возраста обследуют такие зубы:</w:t>
      </w:r>
    </w:p>
    <w:p w:rsidR="00F378E9" w:rsidRDefault="00F378E9" w:rsidP="00F378E9">
      <w:pPr>
        <w:pStyle w:val="af6"/>
        <w:jc w:val="center"/>
      </w:pPr>
      <w:r>
        <w:t>в возрасте 3—4 лет: 55, 51, 65, 71, 75, 85-й;</w:t>
      </w:r>
    </w:p>
    <w:p w:rsidR="00F378E9" w:rsidRDefault="00F378E9" w:rsidP="00F378E9">
      <w:pPr>
        <w:pStyle w:val="af6"/>
        <w:jc w:val="center"/>
      </w:pPr>
      <w:r>
        <w:t>в возрасте 7—14 лет: 16,11, 26, 31, 36, 46-й.</w:t>
      </w:r>
    </w:p>
    <w:p w:rsidR="00F378E9" w:rsidRDefault="00F378E9" w:rsidP="00F378E9">
      <w:pPr>
        <w:pStyle w:val="af6"/>
      </w:pPr>
      <w:r>
        <w:t>Определяют КПИ индивидуальный по формуле:</w:t>
      </w:r>
    </w:p>
    <w:p w:rsidR="00F378E9" w:rsidRPr="004D696B" w:rsidRDefault="00F378E9" w:rsidP="00F378E9">
      <w:pPr>
        <w:jc w:val="center"/>
        <w:rPr>
          <w:b/>
          <w:i/>
          <w:iCs/>
        </w:rPr>
      </w:pPr>
      <w:r w:rsidRPr="004D696B">
        <w:rPr>
          <w:b/>
          <w:sz w:val="28"/>
        </w:rPr>
        <w:t xml:space="preserve">КПИ = Сумма кодов шести зубов/6 </w:t>
      </w:r>
      <w:r w:rsidRPr="004D696B">
        <w:rPr>
          <w:b/>
        </w:rPr>
        <w:br/>
      </w:r>
    </w:p>
    <w:p w:rsidR="00F378E9" w:rsidRDefault="00F378E9" w:rsidP="00F378E9">
      <w:r>
        <w:rPr>
          <w:i/>
          <w:iCs/>
        </w:rPr>
        <w:t>Критерии оценки</w:t>
      </w:r>
      <w:r>
        <w:t>:</w:t>
      </w:r>
    </w:p>
    <w:p w:rsidR="00F378E9" w:rsidRDefault="00F378E9" w:rsidP="00F378E9">
      <w:pPr>
        <w:pStyle w:val="af6"/>
      </w:pPr>
      <w:r>
        <w:t>0,1—1,0 — риск заболевания;</w:t>
      </w:r>
    </w:p>
    <w:p w:rsidR="00F378E9" w:rsidRDefault="00F378E9" w:rsidP="00F378E9">
      <w:pPr>
        <w:pStyle w:val="af6"/>
      </w:pPr>
      <w:r>
        <w:t>1,1—2,0—легкая степень заболевания;</w:t>
      </w:r>
    </w:p>
    <w:p w:rsidR="00F378E9" w:rsidRDefault="00F378E9" w:rsidP="00F378E9">
      <w:pPr>
        <w:pStyle w:val="af6"/>
      </w:pPr>
      <w:r>
        <w:t>2,1—3,5—средняя степень заболевания;</w:t>
      </w:r>
    </w:p>
    <w:p w:rsidR="004747CD" w:rsidRDefault="00F378E9" w:rsidP="00F378E9">
      <w:pPr>
        <w:pStyle w:val="af6"/>
      </w:pPr>
      <w:r>
        <w:t>3,6—6,0 — тяжелая степень заболевания.</w:t>
      </w:r>
    </w:p>
    <w:p w:rsidR="00F378E9" w:rsidRDefault="00F378E9" w:rsidP="00F378E9">
      <w:pPr>
        <w:pStyle w:val="af6"/>
      </w:pPr>
    </w:p>
    <w:p w:rsidR="00F378E9" w:rsidRPr="002D7772" w:rsidRDefault="00F378E9" w:rsidP="008B4D24">
      <w:pPr>
        <w:pStyle w:val="af6"/>
        <w:numPr>
          <w:ilvl w:val="0"/>
          <w:numId w:val="3"/>
        </w:numPr>
        <w:jc w:val="center"/>
        <w:rPr>
          <w:sz w:val="28"/>
        </w:rPr>
      </w:pPr>
      <w:r w:rsidRPr="002D7772">
        <w:rPr>
          <w:rStyle w:val="af2"/>
          <w:sz w:val="28"/>
        </w:rPr>
        <w:t>Проба Шиллера-Писарева.</w:t>
      </w:r>
    </w:p>
    <w:p w:rsidR="00F378E9" w:rsidRPr="002D7772" w:rsidRDefault="00F378E9" w:rsidP="00F378E9">
      <w:pPr>
        <w:pStyle w:val="af6"/>
      </w:pPr>
      <w:r w:rsidRPr="002D7772">
        <w:t>При клинической оценке состояния тканей пародонта в первую очередь обращают внимание на состояние слизистой оболочки десен:</w:t>
      </w:r>
    </w:p>
    <w:p w:rsidR="00F378E9" w:rsidRPr="002D7772" w:rsidRDefault="00F378E9" w:rsidP="00F378E9">
      <w:pPr>
        <w:pStyle w:val="af6"/>
      </w:pPr>
      <w:r w:rsidRPr="002D7772">
        <w:t>1. наличие воспаления;</w:t>
      </w:r>
    </w:p>
    <w:p w:rsidR="00F378E9" w:rsidRPr="002D7772" w:rsidRDefault="00F378E9" w:rsidP="00F378E9">
      <w:pPr>
        <w:pStyle w:val="af6"/>
      </w:pPr>
      <w:r w:rsidRPr="002D7772">
        <w:t>2. интенсивность воспаления;</w:t>
      </w:r>
    </w:p>
    <w:p w:rsidR="00F378E9" w:rsidRPr="002D7772" w:rsidRDefault="00F378E9" w:rsidP="00F378E9">
      <w:pPr>
        <w:pStyle w:val="af6"/>
      </w:pPr>
      <w:r w:rsidRPr="002D7772">
        <w:t>3. распространенность воспаления.</w:t>
      </w:r>
    </w:p>
    <w:p w:rsidR="00F378E9" w:rsidRPr="002D7772" w:rsidRDefault="00F378E9" w:rsidP="00F378E9">
      <w:pPr>
        <w:pStyle w:val="af6"/>
      </w:pPr>
      <w:r w:rsidRPr="002D7772">
        <w:t>Проба Шиллера-Писарева основана на том, что при наличии воспаления происходит окрашивание десен йодсодержащим раствором от бурого до темно-коричневого цвета (прижизненная окраска гликогена).</w:t>
      </w:r>
    </w:p>
    <w:p w:rsidR="00F378E9" w:rsidRPr="002D7772" w:rsidRDefault="00F378E9" w:rsidP="00F378E9">
      <w:pPr>
        <w:pStyle w:val="af6"/>
      </w:pPr>
      <w:r w:rsidRPr="002D7772">
        <w:t xml:space="preserve">Чаще всего для окрашивания используют йод-калиевый раствор (1г кристаллического </w:t>
      </w:r>
      <w:proofErr w:type="spellStart"/>
      <w:r w:rsidRPr="002D7772">
        <w:t>иода</w:t>
      </w:r>
      <w:proofErr w:type="spellEnd"/>
      <w:r w:rsidRPr="002D7772">
        <w:t xml:space="preserve"> и 2г йодида калия растворяют в 1 мл 96% этилового спирта и добавляют дистиллированной воды до 40 мл) или раствор </w:t>
      </w:r>
      <w:proofErr w:type="spellStart"/>
      <w:r w:rsidRPr="002D7772">
        <w:t>Люголя</w:t>
      </w:r>
      <w:proofErr w:type="spellEnd"/>
      <w:r w:rsidRPr="002D7772">
        <w:t>. Интенсивность окрашивания десен зависит от степени выраженности воспалительного процесса, который сопровождается накоплением в клетках слизистой оболочки десны гликогена.</w:t>
      </w:r>
    </w:p>
    <w:p w:rsidR="00F378E9" w:rsidRPr="002D7772" w:rsidRDefault="00F378E9" w:rsidP="00F378E9">
      <w:pPr>
        <w:pStyle w:val="af6"/>
      </w:pPr>
      <w:r w:rsidRPr="002D7772">
        <w:t>У детей до 3-х лет проба Шиллера-Писарева не проводится, так как наличие гликогена в десне является физиологической нормой.</w:t>
      </w:r>
    </w:p>
    <w:p w:rsidR="00F378E9" w:rsidRDefault="00F378E9" w:rsidP="00F378E9">
      <w:pPr>
        <w:pStyle w:val="af6"/>
      </w:pPr>
      <w:r w:rsidRPr="002D7772">
        <w:t>Интенсивная окраска десны указывает на наличие воспаления десны. Степень распространения гингивита определяют с помощью индекса РМА.</w:t>
      </w: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Default="00F378E9" w:rsidP="00F378E9">
      <w:pPr>
        <w:pStyle w:val="af6"/>
      </w:pPr>
    </w:p>
    <w:p w:rsidR="00F378E9" w:rsidRPr="002D7772" w:rsidRDefault="00F378E9" w:rsidP="008B4D24">
      <w:pPr>
        <w:pStyle w:val="af6"/>
        <w:numPr>
          <w:ilvl w:val="0"/>
          <w:numId w:val="3"/>
        </w:numPr>
        <w:rPr>
          <w:b/>
          <w:bCs/>
          <w:sz w:val="28"/>
        </w:rPr>
      </w:pPr>
      <w:r w:rsidRPr="002D7772">
        <w:rPr>
          <w:b/>
          <w:bCs/>
          <w:sz w:val="28"/>
        </w:rPr>
        <w:lastRenderedPageBreak/>
        <w:t>Папиллярно-маргинально-альвеолярный индекс (РМА)</w:t>
      </w:r>
    </w:p>
    <w:p w:rsidR="00F378E9" w:rsidRPr="002D7772" w:rsidRDefault="00F378E9" w:rsidP="00F378E9">
      <w:pPr>
        <w:pStyle w:val="af6"/>
        <w:spacing w:before="0" w:beforeAutospacing="0" w:after="0" w:afterAutospacing="0"/>
      </w:pPr>
      <w:r w:rsidRPr="002D7772">
        <w:t xml:space="preserve"> предложен </w:t>
      </w:r>
      <w:proofErr w:type="spellStart"/>
      <w:r w:rsidRPr="002D7772">
        <w:rPr>
          <w:sz w:val="27"/>
          <w:szCs w:val="27"/>
        </w:rPr>
        <w:t>Massler</w:t>
      </w:r>
      <w:proofErr w:type="spellEnd"/>
      <w:r w:rsidRPr="002D7772">
        <w:rPr>
          <w:sz w:val="27"/>
          <w:szCs w:val="27"/>
        </w:rPr>
        <w:t xml:space="preserve"> M., </w:t>
      </w:r>
      <w:proofErr w:type="spellStart"/>
      <w:r w:rsidRPr="002D7772">
        <w:rPr>
          <w:sz w:val="27"/>
          <w:szCs w:val="27"/>
        </w:rPr>
        <w:t>Shour</w:t>
      </w:r>
      <w:proofErr w:type="spellEnd"/>
      <w:r w:rsidRPr="002D7772">
        <w:rPr>
          <w:sz w:val="27"/>
          <w:szCs w:val="27"/>
        </w:rPr>
        <w:t xml:space="preserve"> I., 1947 </w:t>
      </w:r>
      <w:r w:rsidRPr="002D7772">
        <w:t>и модифицирован Парма (1960).</w:t>
      </w:r>
    </w:p>
    <w:p w:rsidR="00F378E9" w:rsidRPr="002D7772" w:rsidRDefault="00F378E9" w:rsidP="00F378E9">
      <w:pPr>
        <w:pStyle w:val="af6"/>
        <w:spacing w:before="0" w:beforeAutospacing="0" w:after="0" w:afterAutospacing="0"/>
      </w:pPr>
      <w:r w:rsidRPr="002D7772">
        <w:t>Индекс предложен для оценки воспалительного процесса в деснах.</w:t>
      </w:r>
    </w:p>
    <w:p w:rsidR="00F378E9" w:rsidRPr="002D7772" w:rsidRDefault="00F378E9" w:rsidP="00F378E9">
      <w:pPr>
        <w:pStyle w:val="af6"/>
        <w:spacing w:before="0" w:beforeAutospacing="0" w:after="0" w:afterAutospacing="0"/>
      </w:pPr>
      <w:r w:rsidRPr="002D7772">
        <w:t>Производят окрашивание десны у всех зубов раствором Шиллера - Писарева (прижизненная окраска гликогена) и определяют ее состояние по 4-х балльной системе:</w:t>
      </w:r>
    </w:p>
    <w:p w:rsidR="00F378E9" w:rsidRPr="002D7772" w:rsidRDefault="00F378E9" w:rsidP="00F378E9">
      <w:pPr>
        <w:pStyle w:val="af6"/>
        <w:spacing w:before="0" w:beforeAutospacing="0" w:after="0" w:afterAutospacing="0"/>
      </w:pPr>
      <w:r w:rsidRPr="002D7772">
        <w:rPr>
          <w:noProof/>
        </w:rPr>
        <w:drawing>
          <wp:anchor distT="0" distB="0" distL="114300" distR="114300" simplePos="0" relativeHeight="251659264" behindDoc="1" locked="0" layoutInCell="0" allowOverlap="1" wp14:anchorId="0646F50A" wp14:editId="6B3341D2">
            <wp:simplePos x="0" y="0"/>
            <wp:positionH relativeFrom="column">
              <wp:posOffset>3619500</wp:posOffset>
            </wp:positionH>
            <wp:positionV relativeFrom="paragraph">
              <wp:posOffset>8890</wp:posOffset>
            </wp:positionV>
            <wp:extent cx="2619375" cy="1257300"/>
            <wp:effectExtent l="19050" t="0" r="9525"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blip>
                    <a:srcRect/>
                    <a:stretch>
                      <a:fillRect/>
                    </a:stretch>
                  </pic:blipFill>
                  <pic:spPr bwMode="auto">
                    <a:xfrm>
                      <a:off x="0" y="0"/>
                      <a:ext cx="2619375" cy="1257300"/>
                    </a:xfrm>
                    <a:prstGeom prst="rect">
                      <a:avLst/>
                    </a:prstGeom>
                    <a:noFill/>
                  </pic:spPr>
                </pic:pic>
              </a:graphicData>
            </a:graphic>
          </wp:anchor>
        </w:drawing>
      </w:r>
    </w:p>
    <w:p w:rsidR="00F378E9" w:rsidRPr="002D7772" w:rsidRDefault="00F378E9" w:rsidP="00F378E9">
      <w:pPr>
        <w:pStyle w:val="af6"/>
        <w:spacing w:before="0" w:beforeAutospacing="0" w:after="0" w:afterAutospacing="0"/>
      </w:pPr>
    </w:p>
    <w:p w:rsidR="00F378E9" w:rsidRPr="002D7772" w:rsidRDefault="00F378E9" w:rsidP="00F378E9">
      <w:pPr>
        <w:pStyle w:val="af6"/>
        <w:spacing w:before="0" w:beforeAutospacing="0" w:after="0" w:afterAutospacing="0"/>
      </w:pPr>
    </w:p>
    <w:p w:rsidR="00F378E9" w:rsidRPr="002D7772" w:rsidRDefault="00F378E9" w:rsidP="00F378E9">
      <w:pPr>
        <w:pStyle w:val="af6"/>
        <w:spacing w:before="0" w:beforeAutospacing="0" w:after="0" w:afterAutospacing="0"/>
      </w:pPr>
    </w:p>
    <w:p w:rsidR="00F378E9" w:rsidRPr="002D7772" w:rsidRDefault="00F378E9" w:rsidP="00F378E9">
      <w:pPr>
        <w:pStyle w:val="af6"/>
        <w:spacing w:before="0" w:beforeAutospacing="0" w:after="0" w:afterAutospacing="0"/>
      </w:pPr>
    </w:p>
    <w:p w:rsidR="00F378E9" w:rsidRPr="002D7772" w:rsidRDefault="00F378E9" w:rsidP="00F378E9">
      <w:pPr>
        <w:pStyle w:val="af6"/>
        <w:spacing w:before="0" w:beforeAutospacing="0" w:after="0" w:afterAutospacing="0"/>
      </w:pPr>
    </w:p>
    <w:p w:rsidR="00F378E9" w:rsidRPr="002D7772" w:rsidRDefault="00F378E9" w:rsidP="00F378E9">
      <w:pPr>
        <w:pStyle w:val="af6"/>
        <w:spacing w:before="0" w:beforeAutospacing="0" w:after="0" w:afterAutospacing="0"/>
      </w:pPr>
      <w:r w:rsidRPr="002D7772">
        <w:t>0 баллов — нет воспаления;</w:t>
      </w:r>
    </w:p>
    <w:p w:rsidR="00F378E9" w:rsidRPr="002D7772" w:rsidRDefault="00F378E9" w:rsidP="00F378E9">
      <w:pPr>
        <w:pStyle w:val="af6"/>
        <w:spacing w:before="0" w:beforeAutospacing="0" w:after="0" w:afterAutospacing="0"/>
      </w:pPr>
      <w:r w:rsidRPr="002D7772">
        <w:t>1 балл — воспаление сосочка десны (Р);</w:t>
      </w:r>
    </w:p>
    <w:p w:rsidR="00F378E9" w:rsidRPr="002D7772" w:rsidRDefault="00F378E9" w:rsidP="00F378E9">
      <w:pPr>
        <w:pStyle w:val="af6"/>
        <w:spacing w:before="0" w:beforeAutospacing="0" w:after="0" w:afterAutospacing="0"/>
      </w:pPr>
      <w:r w:rsidRPr="002D7772">
        <w:t>2 балла — воспаление маргинального края (сосочек и край) десны (М);</w:t>
      </w:r>
    </w:p>
    <w:p w:rsidR="00F378E9" w:rsidRPr="002D7772" w:rsidRDefault="00F378E9" w:rsidP="00F378E9">
      <w:pPr>
        <w:pStyle w:val="af6"/>
        <w:spacing w:before="0" w:beforeAutospacing="0" w:after="0" w:afterAutospacing="0"/>
      </w:pPr>
      <w:r w:rsidRPr="002D7772">
        <w:t>3 балла — воспаление маргинальной и альвеолярной десны (А).</w:t>
      </w:r>
    </w:p>
    <w:p w:rsidR="00F378E9" w:rsidRPr="002D7772" w:rsidRDefault="00F378E9" w:rsidP="00F378E9">
      <w:pPr>
        <w:spacing w:after="0"/>
        <w:ind w:left="660"/>
        <w:rPr>
          <w:rFonts w:ascii="Times New Roman" w:hAnsi="Times New Roman" w:cs="Times New Roman"/>
          <w:sz w:val="20"/>
          <w:szCs w:val="20"/>
        </w:rPr>
      </w:pPr>
      <w:r w:rsidRPr="002D7772">
        <w:rPr>
          <w:rFonts w:ascii="Times New Roman" w:eastAsia="Times New Roman" w:hAnsi="Times New Roman" w:cs="Times New Roman"/>
          <w:sz w:val="27"/>
          <w:szCs w:val="27"/>
        </w:rPr>
        <w:t xml:space="preserve">Индекс РМА в модификации </w:t>
      </w:r>
      <w:proofErr w:type="spellStart"/>
      <w:r w:rsidRPr="002D7772">
        <w:rPr>
          <w:rFonts w:ascii="Times New Roman" w:eastAsia="Times New Roman" w:hAnsi="Times New Roman" w:cs="Times New Roman"/>
          <w:sz w:val="27"/>
          <w:szCs w:val="27"/>
        </w:rPr>
        <w:t>Parma</w:t>
      </w:r>
      <w:proofErr w:type="spellEnd"/>
      <w:r w:rsidRPr="002D7772">
        <w:rPr>
          <w:rFonts w:ascii="Times New Roman" w:eastAsia="Times New Roman" w:hAnsi="Times New Roman" w:cs="Times New Roman"/>
          <w:sz w:val="27"/>
          <w:szCs w:val="27"/>
        </w:rPr>
        <w:t xml:space="preserve"> С. вычисляют по следующей формуле:</w:t>
      </w:r>
    </w:p>
    <w:p w:rsidR="00F378E9" w:rsidRPr="002D7772" w:rsidRDefault="00F378E9" w:rsidP="00F378E9">
      <w:pPr>
        <w:spacing w:after="0" w:line="350" w:lineRule="exact"/>
        <w:rPr>
          <w:rFonts w:ascii="Times New Roman" w:hAnsi="Times New Roman" w:cs="Times New Roman"/>
          <w:sz w:val="20"/>
          <w:szCs w:val="20"/>
        </w:rPr>
      </w:pPr>
    </w:p>
    <w:p w:rsidR="00F378E9" w:rsidRPr="002D7772" w:rsidRDefault="00F378E9" w:rsidP="00F378E9">
      <w:pPr>
        <w:spacing w:after="0"/>
        <w:ind w:left="3740"/>
        <w:rPr>
          <w:rFonts w:ascii="Times New Roman" w:hAnsi="Times New Roman" w:cs="Times New Roman"/>
          <w:sz w:val="20"/>
          <w:szCs w:val="20"/>
        </w:rPr>
      </w:pPr>
      <w:r w:rsidRPr="002D7772">
        <w:rPr>
          <w:rFonts w:ascii="Times New Roman" w:eastAsia="Times New Roman" w:hAnsi="Times New Roman" w:cs="Times New Roman"/>
          <w:sz w:val="27"/>
          <w:szCs w:val="27"/>
        </w:rPr>
        <w:t>сумма показателей в баллах</w:t>
      </w:r>
    </w:p>
    <w:p w:rsidR="00F378E9" w:rsidRPr="002D7772" w:rsidRDefault="00F378E9" w:rsidP="00F378E9">
      <w:pPr>
        <w:spacing w:after="0"/>
        <w:ind w:left="260"/>
        <w:rPr>
          <w:rFonts w:ascii="Times New Roman" w:hAnsi="Times New Roman" w:cs="Times New Roman"/>
          <w:sz w:val="20"/>
          <w:szCs w:val="20"/>
        </w:rPr>
      </w:pPr>
      <w:r w:rsidRPr="002D7772">
        <w:rPr>
          <w:rFonts w:ascii="Times New Roman" w:eastAsia="Times New Roman" w:hAnsi="Times New Roman" w:cs="Times New Roman"/>
          <w:sz w:val="27"/>
          <w:szCs w:val="27"/>
        </w:rPr>
        <w:t>Индекс гингивита (РМА) =-------------------------------------------------- х 100%</w:t>
      </w:r>
    </w:p>
    <w:p w:rsidR="00F378E9" w:rsidRPr="002D7772" w:rsidRDefault="00F378E9" w:rsidP="00F378E9">
      <w:pPr>
        <w:spacing w:after="0" w:line="238" w:lineRule="auto"/>
        <w:ind w:left="3740"/>
        <w:rPr>
          <w:rFonts w:ascii="Times New Roman" w:hAnsi="Times New Roman" w:cs="Times New Roman"/>
          <w:sz w:val="20"/>
          <w:szCs w:val="20"/>
        </w:rPr>
      </w:pPr>
      <w:r w:rsidRPr="002D7772">
        <w:rPr>
          <w:rFonts w:ascii="Times New Roman" w:eastAsia="Times New Roman" w:hAnsi="Times New Roman" w:cs="Times New Roman"/>
          <w:sz w:val="27"/>
          <w:szCs w:val="27"/>
        </w:rPr>
        <w:t>3 х число зубов у обследуемого</w:t>
      </w:r>
    </w:p>
    <w:p w:rsidR="00F378E9" w:rsidRPr="002D7772" w:rsidRDefault="00F378E9" w:rsidP="00F378E9">
      <w:pPr>
        <w:spacing w:after="0" w:line="200" w:lineRule="exact"/>
        <w:rPr>
          <w:rFonts w:ascii="Times New Roman" w:hAnsi="Times New Roman" w:cs="Times New Roman"/>
          <w:sz w:val="20"/>
          <w:szCs w:val="20"/>
        </w:rPr>
      </w:pPr>
    </w:p>
    <w:p w:rsidR="00F378E9" w:rsidRPr="002D7772" w:rsidRDefault="00F378E9" w:rsidP="00F378E9">
      <w:pPr>
        <w:spacing w:after="0"/>
        <w:ind w:left="260"/>
        <w:rPr>
          <w:rFonts w:ascii="Times New Roman" w:hAnsi="Times New Roman" w:cs="Times New Roman"/>
          <w:sz w:val="20"/>
          <w:szCs w:val="20"/>
        </w:rPr>
      </w:pPr>
      <w:r w:rsidRPr="002D7772">
        <w:rPr>
          <w:rFonts w:ascii="Times New Roman" w:eastAsia="Times New Roman" w:hAnsi="Times New Roman" w:cs="Times New Roman"/>
          <w:sz w:val="27"/>
          <w:szCs w:val="27"/>
        </w:rPr>
        <w:t>где 3 – наивысший балл воспаления десны.</w:t>
      </w:r>
    </w:p>
    <w:p w:rsidR="00F378E9" w:rsidRPr="002D7772" w:rsidRDefault="00F378E9" w:rsidP="00F378E9">
      <w:pPr>
        <w:tabs>
          <w:tab w:val="left" w:pos="1620"/>
          <w:tab w:val="left" w:pos="2540"/>
          <w:tab w:val="left" w:pos="3240"/>
          <w:tab w:val="left" w:pos="4940"/>
          <w:tab w:val="left" w:pos="6120"/>
          <w:tab w:val="left" w:pos="6920"/>
          <w:tab w:val="left" w:pos="8080"/>
          <w:tab w:val="left" w:pos="8620"/>
        </w:tabs>
        <w:spacing w:after="0"/>
        <w:ind w:left="660"/>
        <w:rPr>
          <w:rFonts w:ascii="Times New Roman" w:hAnsi="Times New Roman" w:cs="Times New Roman"/>
          <w:sz w:val="20"/>
          <w:szCs w:val="20"/>
        </w:rPr>
      </w:pPr>
      <w:r w:rsidRPr="002D7772">
        <w:rPr>
          <w:rFonts w:ascii="Times New Roman" w:eastAsia="Times New Roman" w:hAnsi="Times New Roman" w:cs="Times New Roman"/>
          <w:sz w:val="27"/>
          <w:szCs w:val="27"/>
        </w:rPr>
        <w:t>Число</w:t>
      </w:r>
      <w:r w:rsidRPr="002D7772">
        <w:rPr>
          <w:rFonts w:ascii="Times New Roman" w:eastAsia="Times New Roman" w:hAnsi="Times New Roman" w:cs="Times New Roman"/>
          <w:sz w:val="27"/>
          <w:szCs w:val="27"/>
        </w:rPr>
        <w:tab/>
        <w:t>зубов</w:t>
      </w:r>
      <w:r w:rsidRPr="002D7772">
        <w:rPr>
          <w:rFonts w:ascii="Times New Roman" w:eastAsia="Times New Roman" w:hAnsi="Times New Roman" w:cs="Times New Roman"/>
          <w:sz w:val="27"/>
          <w:szCs w:val="27"/>
        </w:rPr>
        <w:tab/>
        <w:t>при</w:t>
      </w:r>
      <w:r w:rsidRPr="002D7772">
        <w:rPr>
          <w:rFonts w:ascii="Times New Roman" w:eastAsia="Times New Roman" w:hAnsi="Times New Roman" w:cs="Times New Roman"/>
          <w:sz w:val="27"/>
          <w:szCs w:val="27"/>
        </w:rPr>
        <w:tab/>
        <w:t>целостности</w:t>
      </w:r>
      <w:r w:rsidRPr="002D7772">
        <w:rPr>
          <w:rFonts w:ascii="Times New Roman" w:eastAsia="Times New Roman" w:hAnsi="Times New Roman" w:cs="Times New Roman"/>
          <w:sz w:val="27"/>
          <w:szCs w:val="27"/>
        </w:rPr>
        <w:tab/>
        <w:t>зубного</w:t>
      </w:r>
      <w:r w:rsidRPr="002D7772">
        <w:rPr>
          <w:rFonts w:ascii="Times New Roman" w:eastAsia="Times New Roman" w:hAnsi="Times New Roman" w:cs="Times New Roman"/>
          <w:sz w:val="27"/>
          <w:szCs w:val="27"/>
        </w:rPr>
        <w:tab/>
        <w:t>ряда</w:t>
      </w:r>
      <w:r w:rsidRPr="002D7772">
        <w:rPr>
          <w:rFonts w:ascii="Times New Roman" w:eastAsia="Times New Roman" w:hAnsi="Times New Roman" w:cs="Times New Roman"/>
          <w:sz w:val="27"/>
          <w:szCs w:val="27"/>
        </w:rPr>
        <w:tab/>
        <w:t>зависит</w:t>
      </w:r>
      <w:r w:rsidRPr="002D7772">
        <w:rPr>
          <w:rFonts w:ascii="Times New Roman" w:eastAsia="Times New Roman" w:hAnsi="Times New Roman" w:cs="Times New Roman"/>
          <w:sz w:val="27"/>
          <w:szCs w:val="27"/>
        </w:rPr>
        <w:tab/>
        <w:t>от</w:t>
      </w:r>
      <w:r w:rsidRPr="002D7772">
        <w:rPr>
          <w:rFonts w:ascii="Times New Roman" w:hAnsi="Times New Roman" w:cs="Times New Roman"/>
          <w:sz w:val="20"/>
          <w:szCs w:val="20"/>
        </w:rPr>
        <w:tab/>
      </w:r>
      <w:r w:rsidRPr="002D7772">
        <w:rPr>
          <w:rFonts w:ascii="Times New Roman" w:eastAsia="Times New Roman" w:hAnsi="Times New Roman" w:cs="Times New Roman"/>
          <w:sz w:val="26"/>
          <w:szCs w:val="26"/>
        </w:rPr>
        <w:t>возраста</w:t>
      </w:r>
    </w:p>
    <w:p w:rsidR="00F378E9" w:rsidRPr="002D7772" w:rsidRDefault="00F378E9" w:rsidP="00F378E9">
      <w:pPr>
        <w:spacing w:after="0" w:line="239" w:lineRule="auto"/>
        <w:ind w:left="260"/>
        <w:rPr>
          <w:rFonts w:ascii="Times New Roman" w:hAnsi="Times New Roman" w:cs="Times New Roman"/>
          <w:sz w:val="20"/>
          <w:szCs w:val="20"/>
        </w:rPr>
      </w:pPr>
      <w:r w:rsidRPr="002D7772">
        <w:rPr>
          <w:rFonts w:ascii="Times New Roman" w:eastAsia="Times New Roman" w:hAnsi="Times New Roman" w:cs="Times New Roman"/>
          <w:sz w:val="27"/>
          <w:szCs w:val="27"/>
        </w:rPr>
        <w:t>обследуемого:</w:t>
      </w:r>
    </w:p>
    <w:p w:rsidR="00F378E9" w:rsidRPr="002D7772" w:rsidRDefault="00F378E9" w:rsidP="00F378E9">
      <w:pPr>
        <w:spacing w:after="0" w:line="2" w:lineRule="exact"/>
        <w:rPr>
          <w:rFonts w:ascii="Times New Roman" w:hAnsi="Times New Roman" w:cs="Times New Roman"/>
          <w:sz w:val="20"/>
          <w:szCs w:val="20"/>
        </w:rPr>
      </w:pPr>
    </w:p>
    <w:p w:rsidR="00F378E9" w:rsidRPr="002D7772" w:rsidRDefault="00F378E9" w:rsidP="00F378E9">
      <w:pPr>
        <w:tabs>
          <w:tab w:val="left" w:pos="3100"/>
        </w:tabs>
        <w:spacing w:after="0"/>
        <w:ind w:left="260"/>
        <w:rPr>
          <w:rFonts w:ascii="Times New Roman" w:hAnsi="Times New Roman" w:cs="Times New Roman"/>
          <w:sz w:val="20"/>
          <w:szCs w:val="20"/>
        </w:rPr>
      </w:pPr>
      <w:r w:rsidRPr="002D7772">
        <w:rPr>
          <w:rFonts w:ascii="Times New Roman" w:eastAsia="Times New Roman" w:hAnsi="Times New Roman" w:cs="Times New Roman"/>
          <w:sz w:val="27"/>
          <w:szCs w:val="27"/>
        </w:rPr>
        <w:t>6-11 лет</w:t>
      </w:r>
      <w:r w:rsidRPr="002D7772">
        <w:rPr>
          <w:rFonts w:ascii="Times New Roman" w:hAnsi="Times New Roman" w:cs="Times New Roman"/>
          <w:sz w:val="20"/>
          <w:szCs w:val="20"/>
        </w:rPr>
        <w:tab/>
      </w:r>
      <w:r w:rsidRPr="002D7772">
        <w:rPr>
          <w:rFonts w:ascii="Times New Roman" w:eastAsia="Times New Roman" w:hAnsi="Times New Roman" w:cs="Times New Roman"/>
          <w:sz w:val="27"/>
          <w:szCs w:val="27"/>
        </w:rPr>
        <w:t>- 24 зуба;</w:t>
      </w:r>
    </w:p>
    <w:p w:rsidR="00F378E9" w:rsidRPr="002D7772" w:rsidRDefault="00F378E9" w:rsidP="00F378E9">
      <w:pPr>
        <w:tabs>
          <w:tab w:val="left" w:pos="3080"/>
        </w:tabs>
        <w:spacing w:after="0"/>
        <w:ind w:left="260"/>
        <w:rPr>
          <w:rFonts w:ascii="Times New Roman" w:hAnsi="Times New Roman" w:cs="Times New Roman"/>
          <w:sz w:val="20"/>
          <w:szCs w:val="20"/>
        </w:rPr>
      </w:pPr>
      <w:r w:rsidRPr="002D7772">
        <w:rPr>
          <w:rFonts w:ascii="Times New Roman" w:eastAsia="Times New Roman" w:hAnsi="Times New Roman" w:cs="Times New Roman"/>
          <w:sz w:val="27"/>
          <w:szCs w:val="27"/>
        </w:rPr>
        <w:t>12-14 лет</w:t>
      </w:r>
      <w:r w:rsidRPr="002D7772">
        <w:rPr>
          <w:rFonts w:ascii="Times New Roman" w:hAnsi="Times New Roman" w:cs="Times New Roman"/>
          <w:sz w:val="20"/>
          <w:szCs w:val="20"/>
        </w:rPr>
        <w:tab/>
      </w:r>
      <w:r w:rsidRPr="002D7772">
        <w:rPr>
          <w:rFonts w:ascii="Times New Roman" w:eastAsia="Times New Roman" w:hAnsi="Times New Roman" w:cs="Times New Roman"/>
          <w:sz w:val="27"/>
          <w:szCs w:val="27"/>
        </w:rPr>
        <w:t>- 28 зубов;</w:t>
      </w:r>
    </w:p>
    <w:p w:rsidR="00F378E9" w:rsidRPr="002D7772" w:rsidRDefault="00F378E9" w:rsidP="00F378E9">
      <w:pPr>
        <w:spacing w:after="0" w:line="1" w:lineRule="exact"/>
        <w:rPr>
          <w:rFonts w:ascii="Times New Roman" w:hAnsi="Times New Roman" w:cs="Times New Roman"/>
          <w:sz w:val="20"/>
          <w:szCs w:val="20"/>
        </w:rPr>
      </w:pPr>
    </w:p>
    <w:p w:rsidR="00F378E9" w:rsidRPr="002D7772" w:rsidRDefault="00F378E9" w:rsidP="00F378E9">
      <w:pPr>
        <w:tabs>
          <w:tab w:val="left" w:pos="3040"/>
        </w:tabs>
        <w:spacing w:after="0"/>
        <w:ind w:left="260"/>
        <w:rPr>
          <w:rFonts w:ascii="Times New Roman" w:hAnsi="Times New Roman" w:cs="Times New Roman"/>
          <w:sz w:val="20"/>
          <w:szCs w:val="20"/>
        </w:rPr>
      </w:pPr>
      <w:r w:rsidRPr="002D7772">
        <w:rPr>
          <w:rFonts w:ascii="Times New Roman" w:eastAsia="Times New Roman" w:hAnsi="Times New Roman" w:cs="Times New Roman"/>
          <w:sz w:val="27"/>
          <w:szCs w:val="27"/>
        </w:rPr>
        <w:t>15 лет и более</w:t>
      </w:r>
      <w:r w:rsidRPr="002D7772">
        <w:rPr>
          <w:rFonts w:ascii="Times New Roman" w:hAnsi="Times New Roman" w:cs="Times New Roman"/>
          <w:sz w:val="20"/>
          <w:szCs w:val="20"/>
        </w:rPr>
        <w:tab/>
      </w:r>
      <w:r w:rsidRPr="002D7772">
        <w:rPr>
          <w:rFonts w:ascii="Times New Roman" w:eastAsia="Times New Roman" w:hAnsi="Times New Roman" w:cs="Times New Roman"/>
          <w:sz w:val="26"/>
          <w:szCs w:val="26"/>
        </w:rPr>
        <w:t>- 30 зубов.</w:t>
      </w:r>
    </w:p>
    <w:p w:rsidR="00F378E9" w:rsidRPr="002D7772" w:rsidRDefault="00F378E9" w:rsidP="00F378E9">
      <w:pPr>
        <w:spacing w:after="0"/>
        <w:ind w:left="260"/>
        <w:rPr>
          <w:rFonts w:ascii="Times New Roman" w:eastAsia="Times New Roman" w:hAnsi="Times New Roman" w:cs="Times New Roman"/>
          <w:sz w:val="27"/>
          <w:szCs w:val="27"/>
        </w:rPr>
      </w:pPr>
      <w:r w:rsidRPr="002D7772">
        <w:rPr>
          <w:rFonts w:ascii="Times New Roman" w:eastAsia="Times New Roman" w:hAnsi="Times New Roman" w:cs="Times New Roman"/>
          <w:sz w:val="27"/>
          <w:szCs w:val="27"/>
        </w:rPr>
        <w:t>При потере зубов исходят из фактического их наличия.</w:t>
      </w:r>
    </w:p>
    <w:p w:rsidR="00F378E9" w:rsidRPr="002D7772" w:rsidRDefault="00F378E9" w:rsidP="00F378E9">
      <w:pPr>
        <w:pStyle w:val="af6"/>
        <w:spacing w:before="0" w:beforeAutospacing="0" w:after="0" w:afterAutospacing="0"/>
      </w:pPr>
      <w:r w:rsidRPr="002D7772">
        <w:rPr>
          <w:rStyle w:val="af2"/>
          <w:i/>
          <w:iCs/>
        </w:rPr>
        <w:t xml:space="preserve">В норме индекс РМА </w:t>
      </w:r>
      <w:r w:rsidRPr="002D7772">
        <w:t>равен 0. Чем больше цифровое значение индекса, тем выше интенсивность гингивита.</w:t>
      </w:r>
    </w:p>
    <w:p w:rsidR="00F378E9" w:rsidRPr="002D7772" w:rsidRDefault="00F378E9" w:rsidP="00F378E9">
      <w:pPr>
        <w:spacing w:after="0"/>
        <w:ind w:left="260"/>
        <w:jc w:val="center"/>
        <w:rPr>
          <w:rFonts w:ascii="Times New Roman" w:eastAsia="Times New Roman" w:hAnsi="Times New Roman" w:cs="Times New Roman"/>
          <w:sz w:val="27"/>
          <w:szCs w:val="27"/>
        </w:rPr>
      </w:pPr>
    </w:p>
    <w:p w:rsidR="00F378E9" w:rsidRPr="002D7772" w:rsidRDefault="00F378E9" w:rsidP="00F378E9">
      <w:pPr>
        <w:spacing w:after="0"/>
        <w:ind w:left="260"/>
        <w:jc w:val="center"/>
        <w:rPr>
          <w:rFonts w:ascii="Times New Roman" w:hAnsi="Times New Roman" w:cs="Times New Roman"/>
          <w:sz w:val="20"/>
          <w:szCs w:val="20"/>
        </w:rPr>
      </w:pPr>
      <w:r w:rsidRPr="002D7772">
        <w:rPr>
          <w:rFonts w:ascii="Times New Roman" w:eastAsia="Times New Roman" w:hAnsi="Times New Roman" w:cs="Times New Roman"/>
          <w:sz w:val="27"/>
          <w:szCs w:val="27"/>
        </w:rPr>
        <w:t>ОЦЕНОЧНЫЕ КРИТЕРИИ ИНДЕКСА РМА:</w:t>
      </w:r>
    </w:p>
    <w:p w:rsidR="00F378E9" w:rsidRPr="002D7772" w:rsidRDefault="00F378E9" w:rsidP="00F378E9">
      <w:pPr>
        <w:spacing w:after="0" w:line="153" w:lineRule="exact"/>
        <w:rPr>
          <w:rFonts w:ascii="Times New Roman" w:hAnsi="Times New Roman" w:cs="Times New Roman"/>
          <w:sz w:val="20"/>
          <w:szCs w:val="20"/>
        </w:rPr>
      </w:pPr>
    </w:p>
    <w:p w:rsidR="00F378E9" w:rsidRPr="002D7772" w:rsidRDefault="00F378E9" w:rsidP="00F378E9">
      <w:pPr>
        <w:spacing w:after="0"/>
        <w:ind w:left="560"/>
        <w:rPr>
          <w:rFonts w:ascii="Times New Roman" w:hAnsi="Times New Roman" w:cs="Times New Roman"/>
          <w:sz w:val="20"/>
          <w:szCs w:val="20"/>
        </w:rPr>
      </w:pPr>
      <w:r w:rsidRPr="002D7772">
        <w:rPr>
          <w:rFonts w:ascii="Times New Roman" w:eastAsia="Times New Roman" w:hAnsi="Times New Roman" w:cs="Times New Roman"/>
          <w:sz w:val="27"/>
          <w:szCs w:val="27"/>
        </w:rPr>
        <w:t>30% и менее — легкая степень тяжести гингивита;</w:t>
      </w:r>
    </w:p>
    <w:p w:rsidR="00F378E9" w:rsidRPr="002D7772" w:rsidRDefault="00F378E9" w:rsidP="00F378E9">
      <w:pPr>
        <w:spacing w:after="0" w:line="156" w:lineRule="exact"/>
        <w:rPr>
          <w:rFonts w:ascii="Times New Roman" w:hAnsi="Times New Roman" w:cs="Times New Roman"/>
          <w:sz w:val="20"/>
          <w:szCs w:val="20"/>
        </w:rPr>
      </w:pPr>
    </w:p>
    <w:p w:rsidR="00F378E9" w:rsidRPr="002D7772" w:rsidRDefault="00F378E9" w:rsidP="00F378E9">
      <w:pPr>
        <w:tabs>
          <w:tab w:val="left" w:pos="1980"/>
        </w:tabs>
        <w:spacing w:after="0"/>
        <w:ind w:left="560"/>
        <w:rPr>
          <w:rFonts w:ascii="Times New Roman" w:hAnsi="Times New Roman" w:cs="Times New Roman"/>
          <w:sz w:val="20"/>
          <w:szCs w:val="20"/>
        </w:rPr>
      </w:pPr>
      <w:r w:rsidRPr="002D7772">
        <w:rPr>
          <w:rFonts w:ascii="Times New Roman" w:eastAsia="Times New Roman" w:hAnsi="Times New Roman" w:cs="Times New Roman"/>
          <w:sz w:val="27"/>
          <w:szCs w:val="27"/>
        </w:rPr>
        <w:t>31—60 %</w:t>
      </w:r>
      <w:r w:rsidRPr="002D7772">
        <w:rPr>
          <w:rFonts w:ascii="Times New Roman" w:hAnsi="Times New Roman" w:cs="Times New Roman"/>
          <w:sz w:val="20"/>
          <w:szCs w:val="20"/>
        </w:rPr>
        <w:tab/>
      </w:r>
      <w:r w:rsidRPr="002D7772">
        <w:rPr>
          <w:rFonts w:ascii="Times New Roman" w:eastAsia="Times New Roman" w:hAnsi="Times New Roman" w:cs="Times New Roman"/>
          <w:sz w:val="26"/>
          <w:szCs w:val="26"/>
        </w:rPr>
        <w:t>— средняя степень тяжести;</w:t>
      </w:r>
    </w:p>
    <w:p w:rsidR="00F378E9" w:rsidRPr="002D7772" w:rsidRDefault="00F378E9" w:rsidP="00F378E9">
      <w:pPr>
        <w:spacing w:after="0" w:line="153" w:lineRule="exact"/>
        <w:rPr>
          <w:rFonts w:ascii="Times New Roman" w:hAnsi="Times New Roman" w:cs="Times New Roman"/>
          <w:sz w:val="20"/>
          <w:szCs w:val="20"/>
        </w:rPr>
      </w:pPr>
    </w:p>
    <w:p w:rsidR="00F378E9" w:rsidRPr="002D7772" w:rsidRDefault="00F378E9" w:rsidP="00F378E9">
      <w:pPr>
        <w:spacing w:after="0"/>
        <w:ind w:left="560"/>
        <w:rPr>
          <w:rFonts w:ascii="Times New Roman" w:hAnsi="Times New Roman" w:cs="Times New Roman"/>
          <w:sz w:val="20"/>
          <w:szCs w:val="20"/>
        </w:rPr>
      </w:pPr>
      <w:r w:rsidRPr="002D7772">
        <w:rPr>
          <w:rFonts w:ascii="Times New Roman" w:eastAsia="Times New Roman" w:hAnsi="Times New Roman" w:cs="Times New Roman"/>
          <w:sz w:val="27"/>
          <w:szCs w:val="27"/>
        </w:rPr>
        <w:t>61% и выше — тяжелая степень.</w:t>
      </w:r>
    </w:p>
    <w:p w:rsidR="00F378E9" w:rsidRPr="002D7772" w:rsidRDefault="00F378E9" w:rsidP="00F378E9">
      <w:pPr>
        <w:tabs>
          <w:tab w:val="left" w:pos="989"/>
        </w:tabs>
        <w:spacing w:after="0" w:line="234" w:lineRule="auto"/>
        <w:ind w:left="656"/>
        <w:rPr>
          <w:rFonts w:ascii="Times New Roman" w:eastAsia="Times New Roman" w:hAnsi="Times New Roman" w:cs="Times New Roman"/>
          <w:sz w:val="27"/>
          <w:szCs w:val="27"/>
        </w:rPr>
      </w:pPr>
    </w:p>
    <w:p w:rsidR="00F378E9" w:rsidRPr="002D7772" w:rsidRDefault="00F378E9" w:rsidP="008B4D24">
      <w:pPr>
        <w:numPr>
          <w:ilvl w:val="0"/>
          <w:numId w:val="4"/>
        </w:numPr>
        <w:tabs>
          <w:tab w:val="left" w:pos="989"/>
        </w:tabs>
        <w:spacing w:after="0" w:line="234" w:lineRule="auto"/>
        <w:ind w:left="260" w:firstLine="396"/>
        <w:rPr>
          <w:rFonts w:ascii="Times New Roman" w:eastAsia="Times New Roman" w:hAnsi="Times New Roman" w:cs="Times New Roman"/>
          <w:b/>
          <w:sz w:val="27"/>
          <w:szCs w:val="27"/>
        </w:rPr>
      </w:pPr>
      <w:r w:rsidRPr="002D7772">
        <w:rPr>
          <w:rFonts w:ascii="Times New Roman" w:eastAsia="Times New Roman" w:hAnsi="Times New Roman" w:cs="Times New Roman"/>
          <w:b/>
          <w:sz w:val="27"/>
          <w:szCs w:val="27"/>
        </w:rPr>
        <w:t>практической работе индекс РМА можно использовать в целом ряде случаев:</w:t>
      </w:r>
    </w:p>
    <w:p w:rsidR="00F378E9" w:rsidRPr="002D7772" w:rsidRDefault="00F378E9" w:rsidP="00F378E9">
      <w:pPr>
        <w:spacing w:after="0" w:line="198" w:lineRule="exact"/>
        <w:rPr>
          <w:rFonts w:ascii="Times New Roman" w:hAnsi="Times New Roman" w:cs="Times New Roman"/>
          <w:sz w:val="20"/>
          <w:szCs w:val="20"/>
        </w:rPr>
      </w:pPr>
    </w:p>
    <w:p w:rsidR="00F378E9" w:rsidRPr="002D7772" w:rsidRDefault="00F378E9" w:rsidP="00F378E9">
      <w:pPr>
        <w:spacing w:after="0" w:line="234" w:lineRule="auto"/>
        <w:ind w:left="260" w:hanging="244"/>
        <w:rPr>
          <w:rFonts w:ascii="Times New Roman" w:hAnsi="Times New Roman" w:cs="Times New Roman"/>
          <w:sz w:val="20"/>
          <w:szCs w:val="20"/>
        </w:rPr>
      </w:pPr>
      <w:r w:rsidRPr="002D7772">
        <w:rPr>
          <w:rFonts w:ascii="Times New Roman" w:eastAsia="Times New Roman" w:hAnsi="Times New Roman" w:cs="Times New Roman"/>
          <w:sz w:val="27"/>
          <w:szCs w:val="27"/>
        </w:rPr>
        <w:t>а) при профилактических осмотрах с целью выявления заболевания на ранних стадиях развития процесса;</w:t>
      </w:r>
    </w:p>
    <w:p w:rsidR="00F378E9" w:rsidRPr="002D7772" w:rsidRDefault="00F378E9" w:rsidP="00F378E9">
      <w:pPr>
        <w:spacing w:after="0" w:line="2" w:lineRule="exact"/>
        <w:rPr>
          <w:rFonts w:ascii="Times New Roman" w:hAnsi="Times New Roman" w:cs="Times New Roman"/>
          <w:sz w:val="20"/>
          <w:szCs w:val="20"/>
        </w:rPr>
      </w:pPr>
    </w:p>
    <w:p w:rsidR="00F378E9" w:rsidRPr="002D7772" w:rsidRDefault="00F378E9" w:rsidP="00F378E9">
      <w:pPr>
        <w:spacing w:after="0"/>
        <w:ind w:left="20"/>
        <w:rPr>
          <w:rFonts w:ascii="Times New Roman" w:hAnsi="Times New Roman" w:cs="Times New Roman"/>
          <w:sz w:val="20"/>
          <w:szCs w:val="20"/>
        </w:rPr>
      </w:pPr>
      <w:r w:rsidRPr="002D7772">
        <w:rPr>
          <w:rFonts w:ascii="Times New Roman" w:eastAsia="Times New Roman" w:hAnsi="Times New Roman" w:cs="Times New Roman"/>
          <w:sz w:val="27"/>
          <w:szCs w:val="27"/>
        </w:rPr>
        <w:t>б) при обследовании пародонта у стоматологических больных;</w:t>
      </w:r>
    </w:p>
    <w:p w:rsidR="00F378E9" w:rsidRPr="002D7772" w:rsidRDefault="00F378E9" w:rsidP="00F378E9">
      <w:pPr>
        <w:spacing w:after="0" w:line="19" w:lineRule="exact"/>
        <w:rPr>
          <w:rFonts w:ascii="Times New Roman" w:hAnsi="Times New Roman" w:cs="Times New Roman"/>
          <w:sz w:val="20"/>
          <w:szCs w:val="20"/>
        </w:rPr>
      </w:pPr>
    </w:p>
    <w:p w:rsidR="00F378E9" w:rsidRDefault="00F378E9" w:rsidP="00F378E9">
      <w:pPr>
        <w:tabs>
          <w:tab w:val="left" w:pos="240"/>
        </w:tabs>
        <w:spacing w:after="0" w:line="234" w:lineRule="auto"/>
        <w:ind w:left="260" w:hanging="244"/>
        <w:rPr>
          <w:rFonts w:ascii="Times New Roman" w:eastAsia="Times New Roman" w:hAnsi="Times New Roman" w:cs="Times New Roman"/>
          <w:sz w:val="27"/>
          <w:szCs w:val="27"/>
        </w:rPr>
      </w:pPr>
      <w:proofErr w:type="gramStart"/>
      <w:r w:rsidRPr="002D7772">
        <w:rPr>
          <w:rFonts w:ascii="Times New Roman" w:eastAsia="Times New Roman" w:hAnsi="Times New Roman" w:cs="Times New Roman"/>
          <w:sz w:val="27"/>
          <w:szCs w:val="27"/>
        </w:rPr>
        <w:t>в)</w:t>
      </w:r>
      <w:r w:rsidRPr="002D7772">
        <w:rPr>
          <w:rFonts w:ascii="Times New Roman" w:eastAsia="Times New Roman" w:hAnsi="Times New Roman" w:cs="Times New Roman"/>
          <w:sz w:val="27"/>
          <w:szCs w:val="27"/>
        </w:rPr>
        <w:tab/>
      </w:r>
      <w:proofErr w:type="gramEnd"/>
      <w:r w:rsidRPr="002D7772">
        <w:rPr>
          <w:rFonts w:ascii="Times New Roman" w:eastAsia="Times New Roman" w:hAnsi="Times New Roman" w:cs="Times New Roman"/>
          <w:sz w:val="27"/>
          <w:szCs w:val="27"/>
        </w:rPr>
        <w:t>при лечении больного гингивитом или пародонтитом — для оценки тяжести болезни и эффективности лечения.</w:t>
      </w:r>
    </w:p>
    <w:p w:rsidR="00F378E9" w:rsidRPr="00F60C5E" w:rsidRDefault="00F378E9" w:rsidP="008B4D24">
      <w:pPr>
        <w:pStyle w:val="af6"/>
        <w:numPr>
          <w:ilvl w:val="0"/>
          <w:numId w:val="3"/>
        </w:numPr>
        <w:jc w:val="center"/>
        <w:rPr>
          <w:b/>
        </w:rPr>
      </w:pPr>
      <w:r w:rsidRPr="00F60C5E">
        <w:rPr>
          <w:b/>
        </w:rPr>
        <w:lastRenderedPageBreak/>
        <w:t>ПАРОДОНТАЛЬНЫЙ ИНДЕКС</w:t>
      </w:r>
    </w:p>
    <w:p w:rsidR="00F378E9" w:rsidRDefault="00F378E9" w:rsidP="00F378E9">
      <w:pPr>
        <w:pStyle w:val="af6"/>
      </w:pPr>
      <w:proofErr w:type="spellStart"/>
      <w:r>
        <w:t>Пародонтальный</w:t>
      </w:r>
      <w:proofErr w:type="spellEnd"/>
      <w:r>
        <w:t xml:space="preserve"> индекс (ПИ) дает возможность учесть наличие гингивита и других симптомов патологии пародонта: подвижность зубов, глубина клинического кармана и др. </w:t>
      </w:r>
    </w:p>
    <w:p w:rsidR="00F378E9" w:rsidRDefault="00F378E9" w:rsidP="00F378E9">
      <w:pPr>
        <w:pStyle w:val="af6"/>
      </w:pPr>
      <w:r>
        <w:t xml:space="preserve">Используют следующие оценки: </w:t>
      </w:r>
    </w:p>
    <w:p w:rsidR="00F378E9" w:rsidRDefault="00F378E9" w:rsidP="00F378E9">
      <w:pPr>
        <w:pStyle w:val="af6"/>
      </w:pPr>
      <w:r>
        <w:t xml:space="preserve">нет изменений и воспаления – 0; </w:t>
      </w:r>
    </w:p>
    <w:p w:rsidR="00F378E9" w:rsidRDefault="00F378E9" w:rsidP="00F378E9">
      <w:pPr>
        <w:pStyle w:val="af6"/>
      </w:pPr>
      <w:r>
        <w:t xml:space="preserve">легкий гингивит (воспаление десны не охватывает зуб со всех сторон) – 1; </w:t>
      </w:r>
    </w:p>
    <w:p w:rsidR="00F378E9" w:rsidRDefault="00F378E9" w:rsidP="00F378E9">
      <w:pPr>
        <w:pStyle w:val="af6"/>
      </w:pPr>
      <w:r>
        <w:t xml:space="preserve">гингивит без повреждения прикрепленного эпителия (клинический карман не определяется) – 2; </w:t>
      </w:r>
    </w:p>
    <w:p w:rsidR="00F378E9" w:rsidRDefault="00F378E9" w:rsidP="00F378E9">
      <w:pPr>
        <w:pStyle w:val="af6"/>
      </w:pPr>
      <w:r>
        <w:t xml:space="preserve">гингивит с образованием клинического кармана, нарушения функции нет, зуб неподвижен – 6; </w:t>
      </w:r>
    </w:p>
    <w:p w:rsidR="00F378E9" w:rsidRDefault="00F378E9" w:rsidP="00F378E9">
      <w:pPr>
        <w:pStyle w:val="af6"/>
      </w:pPr>
      <w:r>
        <w:t xml:space="preserve">выраженная деструкция всех тканей пародонта, зуб подвижен, может быть смещен – 8. </w:t>
      </w:r>
    </w:p>
    <w:p w:rsidR="00F378E9" w:rsidRDefault="00F378E9" w:rsidP="00F378E9">
      <w:pPr>
        <w:pStyle w:val="af6"/>
      </w:pPr>
      <w:r>
        <w:t xml:space="preserve">Оценивают состояние пародонта каждого имеющегося зуба – от 0 до 8 с учетом степени воспаления десны, подвижности зуба и глубины клинического кармана. В сомнительных случаях ставят наивысшую из возможных оценок. При возможности рентгенологического исследования пародонта вводят оценку «4», при которой ведущим признаком служит состояние костной ткани, проявляющееся исчезновением замыкающих кортикальных пластинок на вершинах альвеолярного отростка. Рентгенологическое исследование особенно важно для диагностики начальной степени развития патологии пародонта. </w:t>
      </w:r>
    </w:p>
    <w:p w:rsidR="00F378E9" w:rsidRDefault="00F378E9" w:rsidP="00F378E9">
      <w:pPr>
        <w:pStyle w:val="af6"/>
      </w:pPr>
      <w:r>
        <w:t xml:space="preserve">Для расчета индекса полученные оценки складывают и делят на число имеющихся зубов по формуле: </w:t>
      </w:r>
    </w:p>
    <w:p w:rsidR="00F378E9" w:rsidRDefault="00F378E9" w:rsidP="00F378E9">
      <w:pPr>
        <w:pStyle w:val="af6"/>
      </w:pPr>
      <w:r>
        <w:t xml:space="preserve">ПИ= Сумма оценок каждого зуба / Число зубов </w:t>
      </w:r>
    </w:p>
    <w:p w:rsidR="00F378E9" w:rsidRDefault="00F378E9" w:rsidP="00F378E9">
      <w:pPr>
        <w:pStyle w:val="af6"/>
      </w:pPr>
      <w:r>
        <w:t xml:space="preserve">Значения индекса следующие: </w:t>
      </w:r>
    </w:p>
    <w:p w:rsidR="00F378E9" w:rsidRDefault="00F378E9" w:rsidP="00F378E9">
      <w:pPr>
        <w:pStyle w:val="af6"/>
      </w:pPr>
      <w:r>
        <w:t xml:space="preserve">0,1–1,0 – начальная и легкая степень патологии пародонта; </w:t>
      </w:r>
    </w:p>
    <w:p w:rsidR="00F378E9" w:rsidRDefault="00F378E9" w:rsidP="00F378E9">
      <w:pPr>
        <w:pStyle w:val="af6"/>
      </w:pPr>
      <w:r>
        <w:t xml:space="preserve">1,5–4,0 – среднетяжелая степень патологии пародонта; </w:t>
      </w:r>
    </w:p>
    <w:p w:rsidR="00F378E9" w:rsidRDefault="00F378E9" w:rsidP="00F378E9">
      <w:pPr>
        <w:pStyle w:val="af6"/>
      </w:pPr>
      <w:r>
        <w:t xml:space="preserve">4,0–4,8 – тяжелая степень патологии пародонта. </w:t>
      </w:r>
    </w:p>
    <w:p w:rsidR="00F378E9" w:rsidRDefault="00F378E9" w:rsidP="00F378E9">
      <w:pPr>
        <w:pStyle w:val="af6"/>
      </w:pPr>
    </w:p>
    <w:p w:rsidR="00F378E9" w:rsidRDefault="00F378E9" w:rsidP="00F378E9">
      <w:pPr>
        <w:pStyle w:val="af6"/>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p w:rsidR="00F378E9" w:rsidRPr="00F378E9" w:rsidRDefault="00F378E9" w:rsidP="008B4D24">
      <w:pPr>
        <w:pStyle w:val="a8"/>
        <w:numPr>
          <w:ilvl w:val="0"/>
          <w:numId w:val="3"/>
        </w:numPr>
        <w:tabs>
          <w:tab w:val="left" w:pos="940"/>
        </w:tabs>
        <w:spacing w:line="240" w:lineRule="auto"/>
        <w:rPr>
          <w:rFonts w:eastAsia="Times New Roman"/>
          <w:b/>
          <w:bCs/>
          <w:sz w:val="40"/>
          <w:szCs w:val="40"/>
        </w:rPr>
      </w:pPr>
      <w:r w:rsidRPr="00F378E9">
        <w:rPr>
          <w:b/>
          <w:sz w:val="28"/>
          <w:szCs w:val="28"/>
        </w:rPr>
        <w:lastRenderedPageBreak/>
        <w:t>ОЦЕНКА СОСТОЯНИЯ ТКАНЕЙ ПАРОДОНТА.</w:t>
      </w:r>
      <w:r w:rsidRPr="00F378E9">
        <w:rPr>
          <w:rFonts w:eastAsia="Times New Roman"/>
          <w:b/>
          <w:bCs/>
          <w:sz w:val="28"/>
          <w:szCs w:val="28"/>
        </w:rPr>
        <w:t xml:space="preserve"> ИНДЕКС КРОВОТОЧИВОСТИ МЮЛЛЕМАНА - SBI</w:t>
      </w:r>
    </w:p>
    <w:p w:rsidR="00F378E9" w:rsidRDefault="00F378E9" w:rsidP="00F378E9">
      <w:pPr>
        <w:spacing w:line="271" w:lineRule="exact"/>
        <w:rPr>
          <w:sz w:val="20"/>
          <w:szCs w:val="20"/>
        </w:rPr>
      </w:pPr>
    </w:p>
    <w:p w:rsidR="00F378E9" w:rsidRDefault="00F378E9" w:rsidP="00F378E9">
      <w:pPr>
        <w:spacing w:line="234" w:lineRule="auto"/>
        <w:rPr>
          <w:sz w:val="20"/>
          <w:szCs w:val="20"/>
        </w:rPr>
      </w:pPr>
      <w:r>
        <w:rPr>
          <w:rFonts w:ascii="Times New Roman" w:eastAsia="Times New Roman" w:hAnsi="Times New Roman" w:cs="Times New Roman"/>
          <w:sz w:val="27"/>
          <w:szCs w:val="27"/>
        </w:rPr>
        <w:t xml:space="preserve">Этот метод впервые предложил в 1971 г. </w:t>
      </w:r>
      <w:proofErr w:type="spellStart"/>
      <w:r>
        <w:rPr>
          <w:rFonts w:ascii="Times New Roman" w:eastAsia="Times New Roman" w:hAnsi="Times New Roman" w:cs="Times New Roman"/>
          <w:sz w:val="27"/>
          <w:szCs w:val="27"/>
        </w:rPr>
        <w:t>Мюллеман</w:t>
      </w:r>
      <w:proofErr w:type="spellEnd"/>
      <w:r>
        <w:rPr>
          <w:rFonts w:ascii="Times New Roman" w:eastAsia="Times New Roman" w:hAnsi="Times New Roman" w:cs="Times New Roman"/>
          <w:sz w:val="27"/>
          <w:szCs w:val="27"/>
        </w:rPr>
        <w:t xml:space="preserve"> (</w:t>
      </w:r>
      <w:proofErr w:type="spellStart"/>
      <w:r>
        <w:rPr>
          <w:rFonts w:ascii="Times New Roman" w:eastAsia="Times New Roman" w:hAnsi="Times New Roman" w:cs="Times New Roman"/>
          <w:sz w:val="27"/>
          <w:szCs w:val="27"/>
        </w:rPr>
        <w:t>Muhlemann</w:t>
      </w:r>
      <w:proofErr w:type="spellEnd"/>
      <w:r>
        <w:rPr>
          <w:rFonts w:ascii="Times New Roman" w:eastAsia="Times New Roman" w:hAnsi="Times New Roman" w:cs="Times New Roman"/>
          <w:sz w:val="27"/>
          <w:szCs w:val="27"/>
        </w:rPr>
        <w:t xml:space="preserve">), а в 1975 г. его модифицировал </w:t>
      </w:r>
      <w:proofErr w:type="spellStart"/>
      <w:r>
        <w:rPr>
          <w:rFonts w:ascii="Times New Roman" w:eastAsia="Times New Roman" w:hAnsi="Times New Roman" w:cs="Times New Roman"/>
          <w:sz w:val="27"/>
          <w:szCs w:val="27"/>
        </w:rPr>
        <w:t>Коуэлл</w:t>
      </w:r>
      <w:proofErr w:type="spellEnd"/>
      <w:r>
        <w:rPr>
          <w:rFonts w:ascii="Times New Roman" w:eastAsia="Times New Roman" w:hAnsi="Times New Roman" w:cs="Times New Roman"/>
          <w:sz w:val="27"/>
          <w:szCs w:val="27"/>
        </w:rPr>
        <w:t xml:space="preserve"> (</w:t>
      </w:r>
      <w:proofErr w:type="spellStart"/>
      <w:r>
        <w:rPr>
          <w:rFonts w:ascii="Times New Roman" w:eastAsia="Times New Roman" w:hAnsi="Times New Roman" w:cs="Times New Roman"/>
          <w:sz w:val="27"/>
          <w:szCs w:val="27"/>
        </w:rPr>
        <w:t>Cowell</w:t>
      </w:r>
      <w:proofErr w:type="spellEnd"/>
      <w:r>
        <w:rPr>
          <w:rFonts w:ascii="Times New Roman" w:eastAsia="Times New Roman" w:hAnsi="Times New Roman" w:cs="Times New Roman"/>
          <w:sz w:val="27"/>
          <w:szCs w:val="27"/>
        </w:rPr>
        <w:t xml:space="preserve"> I.).</w:t>
      </w:r>
    </w:p>
    <w:p w:rsidR="00F378E9" w:rsidRDefault="00F378E9" w:rsidP="00F378E9">
      <w:pPr>
        <w:spacing w:line="326" w:lineRule="exact"/>
        <w:rPr>
          <w:sz w:val="20"/>
          <w:szCs w:val="20"/>
        </w:rPr>
      </w:pPr>
    </w:p>
    <w:p w:rsidR="00F378E9" w:rsidRDefault="00F378E9" w:rsidP="00F378E9">
      <w:pPr>
        <w:tabs>
          <w:tab w:val="left" w:pos="7600"/>
        </w:tabs>
        <w:spacing w:after="0" w:line="234" w:lineRule="auto"/>
        <w:ind w:right="102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Состояние десен изучается в области "зубов </w:t>
      </w:r>
      <w:proofErr w:type="spellStart"/>
      <w:r>
        <w:rPr>
          <w:rFonts w:ascii="Times New Roman" w:eastAsia="Times New Roman" w:hAnsi="Times New Roman" w:cs="Times New Roman"/>
          <w:sz w:val="27"/>
          <w:szCs w:val="27"/>
        </w:rPr>
        <w:t>Рамфьорда</w:t>
      </w:r>
      <w:proofErr w:type="spellEnd"/>
      <w:r>
        <w:rPr>
          <w:rFonts w:ascii="Times New Roman" w:eastAsia="Times New Roman" w:hAnsi="Times New Roman" w:cs="Times New Roman"/>
          <w:sz w:val="27"/>
          <w:szCs w:val="27"/>
        </w:rPr>
        <w:t>"</w:t>
      </w:r>
      <w:r>
        <w:rPr>
          <w:sz w:val="20"/>
          <w:szCs w:val="20"/>
        </w:rPr>
        <w:tab/>
      </w:r>
      <w:r>
        <w:rPr>
          <w:rFonts w:ascii="Times New Roman" w:eastAsia="Times New Roman" w:hAnsi="Times New Roman" w:cs="Times New Roman"/>
          <w:sz w:val="27"/>
          <w:szCs w:val="27"/>
          <w:u w:val="single"/>
        </w:rPr>
        <w:t xml:space="preserve">6 | 1 4 </w:t>
      </w:r>
    </w:p>
    <w:p w:rsidR="00F378E9" w:rsidRDefault="00F378E9" w:rsidP="00F378E9">
      <w:pPr>
        <w:tabs>
          <w:tab w:val="left" w:pos="7600"/>
        </w:tabs>
        <w:spacing w:line="234" w:lineRule="auto"/>
        <w:ind w:right="1020"/>
        <w:rPr>
          <w:sz w:val="20"/>
          <w:szCs w:val="20"/>
        </w:rPr>
      </w:pPr>
      <w:r>
        <w:rPr>
          <w:rFonts w:ascii="Times New Roman" w:eastAsia="Times New Roman" w:hAnsi="Times New Roman" w:cs="Times New Roman"/>
          <w:sz w:val="27"/>
          <w:szCs w:val="27"/>
        </w:rPr>
        <w:t xml:space="preserve">                                                                                                              4 1 | 6</w:t>
      </w:r>
    </w:p>
    <w:p w:rsidR="00F378E9" w:rsidRDefault="00F378E9" w:rsidP="00F378E9">
      <w:pPr>
        <w:spacing w:line="14" w:lineRule="exact"/>
        <w:rPr>
          <w:sz w:val="20"/>
          <w:szCs w:val="20"/>
        </w:rPr>
      </w:pPr>
    </w:p>
    <w:p w:rsidR="00F378E9" w:rsidRDefault="00F378E9" w:rsidP="008B4D24">
      <w:pPr>
        <w:numPr>
          <w:ilvl w:val="0"/>
          <w:numId w:val="5"/>
        </w:numPr>
        <w:tabs>
          <w:tab w:val="left" w:pos="483"/>
        </w:tabs>
        <w:spacing w:after="0" w:line="237" w:lineRule="auto"/>
        <w:rPr>
          <w:rFonts w:eastAsia="Times New Roman"/>
          <w:sz w:val="27"/>
          <w:szCs w:val="27"/>
        </w:rPr>
      </w:pPr>
      <w:r>
        <w:rPr>
          <w:rFonts w:ascii="Times New Roman" w:eastAsia="Times New Roman" w:hAnsi="Times New Roman" w:cs="Times New Roman"/>
          <w:sz w:val="27"/>
          <w:szCs w:val="27"/>
        </w:rPr>
        <w:t>щечной и язычной (небной) сторон с помощью пуговчатого или специально затупленного зонда. Кончик зонда без давления прижимают к стенке бороздки и медленно ведут от медиальной к дистальной стороне зуба.</w:t>
      </w:r>
    </w:p>
    <w:p w:rsidR="00F378E9" w:rsidRDefault="00F378E9" w:rsidP="00F378E9">
      <w:pPr>
        <w:spacing w:line="311" w:lineRule="exact"/>
        <w:rPr>
          <w:sz w:val="20"/>
          <w:szCs w:val="20"/>
        </w:rPr>
      </w:pPr>
    </w:p>
    <w:p w:rsidR="00F378E9" w:rsidRDefault="00F378E9" w:rsidP="00F378E9">
      <w:pPr>
        <w:ind w:left="260"/>
        <w:jc w:val="center"/>
        <w:rPr>
          <w:sz w:val="20"/>
          <w:szCs w:val="20"/>
        </w:rPr>
      </w:pPr>
      <w:r>
        <w:rPr>
          <w:rFonts w:ascii="Times New Roman" w:eastAsia="Times New Roman" w:hAnsi="Times New Roman" w:cs="Times New Roman"/>
          <w:sz w:val="27"/>
          <w:szCs w:val="27"/>
        </w:rPr>
        <w:t>Оценочная шкала следующая:</w:t>
      </w:r>
    </w:p>
    <w:p w:rsidR="00F378E9" w:rsidRDefault="00F378E9" w:rsidP="00F378E9">
      <w:pPr>
        <w:pStyle w:val="af6"/>
      </w:pPr>
      <w:r>
        <w:t xml:space="preserve">Степень кровоточивости </w:t>
      </w:r>
      <w:proofErr w:type="spellStart"/>
      <w:r>
        <w:t>десневой</w:t>
      </w:r>
      <w:proofErr w:type="spellEnd"/>
      <w:r>
        <w:t xml:space="preserve"> бороз</w:t>
      </w:r>
      <w:r>
        <w:softHyphen/>
        <w:t>ды определяют через 30 с после осторож</w:t>
      </w:r>
      <w:r>
        <w:softHyphen/>
        <w:t xml:space="preserve">ного зондирования </w:t>
      </w:r>
      <w:proofErr w:type="spellStart"/>
      <w:r>
        <w:t>пародонтальным</w:t>
      </w:r>
      <w:proofErr w:type="spellEnd"/>
      <w:r>
        <w:t xml:space="preserve"> зон</w:t>
      </w:r>
      <w:r>
        <w:softHyphen/>
        <w:t>дом. В этом индексе отображены шесть степеней воспаления:</w:t>
      </w:r>
    </w:p>
    <w:p w:rsidR="00F378E9" w:rsidRDefault="00F378E9" w:rsidP="00F378E9">
      <w:pPr>
        <w:pStyle w:val="af6"/>
      </w:pPr>
      <w:r>
        <w:t>- 0 степень: внешний вид десны не из</w:t>
      </w:r>
      <w:r>
        <w:softHyphen/>
        <w:t>менен, при зондировании кровоточи</w:t>
      </w:r>
      <w:r>
        <w:softHyphen/>
        <w:t>вость отсутствует;</w:t>
      </w:r>
    </w:p>
    <w:p w:rsidR="00F378E9" w:rsidRDefault="00F378E9" w:rsidP="00F378E9">
      <w:pPr>
        <w:pStyle w:val="af6"/>
      </w:pPr>
      <w:r>
        <w:t>- 1 степень: внешний вид десны не из</w:t>
      </w:r>
      <w:r>
        <w:softHyphen/>
        <w:t>менен, при зондировании возникает кровоточивость;</w:t>
      </w:r>
    </w:p>
    <w:p w:rsidR="00F378E9" w:rsidRDefault="00F378E9" w:rsidP="00F378E9">
      <w:pPr>
        <w:pStyle w:val="af6"/>
      </w:pPr>
      <w:r>
        <w:t>- 2 степень: появление изменений ок</w:t>
      </w:r>
      <w:r>
        <w:softHyphen/>
        <w:t>раски десны вследствие воспаления, при зондировании возникает кровото</w:t>
      </w:r>
      <w:r>
        <w:softHyphen/>
        <w:t>чивость;</w:t>
      </w:r>
    </w:p>
    <w:p w:rsidR="00F378E9" w:rsidRDefault="00F378E9" w:rsidP="00F378E9">
      <w:pPr>
        <w:pStyle w:val="af6"/>
      </w:pPr>
      <w:r>
        <w:t>- 3 степень: аналогично 2 степени, кро</w:t>
      </w:r>
      <w:r>
        <w:softHyphen/>
        <w:t>ме этого появляется легкая отечность десны;</w:t>
      </w:r>
    </w:p>
    <w:p w:rsidR="00F378E9" w:rsidRDefault="00F378E9" w:rsidP="00F378E9">
      <w:pPr>
        <w:pStyle w:val="af6"/>
      </w:pPr>
      <w:r>
        <w:t>- 4 степень: аналогично 3 степени, воз</w:t>
      </w:r>
      <w:r>
        <w:softHyphen/>
        <w:t>можно возникновение выраженного воспалительного отека;</w:t>
      </w:r>
    </w:p>
    <w:p w:rsidR="00F378E9" w:rsidRDefault="00F378E9" w:rsidP="00F378E9">
      <w:pPr>
        <w:pStyle w:val="af6"/>
        <w:rPr>
          <w:sz w:val="20"/>
          <w:szCs w:val="20"/>
        </w:rPr>
      </w:pPr>
      <w:r>
        <w:t>- 5 степень: аналогично 4 степени, воз</w:t>
      </w:r>
      <w:r>
        <w:softHyphen/>
        <w:t>можно возникновение спонтанных кро</w:t>
      </w:r>
      <w:r>
        <w:softHyphen/>
        <w:t>вотечений и эрозий эпителия десны.</w:t>
      </w:r>
    </w:p>
    <w:p w:rsidR="00F378E9" w:rsidRDefault="00F378E9" w:rsidP="00F378E9">
      <w:pPr>
        <w:ind w:left="2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Метод очень показателен и </w:t>
      </w:r>
      <w:proofErr w:type="gramStart"/>
      <w:r>
        <w:rPr>
          <w:rFonts w:ascii="Times New Roman" w:eastAsia="Times New Roman" w:hAnsi="Times New Roman" w:cs="Times New Roman"/>
          <w:sz w:val="27"/>
          <w:szCs w:val="27"/>
        </w:rPr>
        <w:t>при гингивите</w:t>
      </w:r>
      <w:proofErr w:type="gramEnd"/>
      <w:r>
        <w:rPr>
          <w:rFonts w:ascii="Times New Roman" w:eastAsia="Times New Roman" w:hAnsi="Times New Roman" w:cs="Times New Roman"/>
          <w:sz w:val="27"/>
          <w:szCs w:val="27"/>
        </w:rPr>
        <w:t xml:space="preserve"> и при пародонтите.</w:t>
      </w:r>
    </w:p>
    <w:p w:rsidR="00F378E9" w:rsidRDefault="00F378E9" w:rsidP="00F378E9">
      <w:pPr>
        <w:ind w:left="260"/>
        <w:rPr>
          <w:sz w:val="20"/>
          <w:szCs w:val="20"/>
        </w:rPr>
      </w:pPr>
    </w:p>
    <w:p w:rsidR="00F378E9" w:rsidRDefault="00F378E9" w:rsidP="00F378E9">
      <w:pPr>
        <w:pStyle w:val="1"/>
        <w:rPr>
          <w:color w:val="000000" w:themeColor="text1"/>
        </w:rPr>
      </w:pPr>
    </w:p>
    <w:p w:rsidR="00F378E9" w:rsidRDefault="00F378E9" w:rsidP="00F378E9">
      <w:pPr>
        <w:pStyle w:val="1"/>
        <w:rPr>
          <w:color w:val="000000" w:themeColor="text1"/>
        </w:rPr>
      </w:pPr>
    </w:p>
    <w:p w:rsidR="00F378E9" w:rsidRPr="00F378E9" w:rsidRDefault="00F378E9" w:rsidP="00F378E9"/>
    <w:p w:rsidR="00F378E9" w:rsidRPr="00B76F70" w:rsidRDefault="00F378E9" w:rsidP="008B4D24">
      <w:pPr>
        <w:pStyle w:val="1"/>
        <w:numPr>
          <w:ilvl w:val="0"/>
          <w:numId w:val="3"/>
        </w:numPr>
        <w:rPr>
          <w:color w:val="000000" w:themeColor="text1"/>
        </w:rPr>
      </w:pPr>
      <w:r w:rsidRPr="00B76F70">
        <w:rPr>
          <w:color w:val="000000" w:themeColor="text1"/>
        </w:rPr>
        <w:lastRenderedPageBreak/>
        <w:t xml:space="preserve">Индекс </w:t>
      </w:r>
      <w:proofErr w:type="spellStart"/>
      <w:r w:rsidRPr="00B76F70">
        <w:rPr>
          <w:color w:val="000000" w:themeColor="text1"/>
        </w:rPr>
        <w:t>Рамфьерда</w:t>
      </w:r>
      <w:proofErr w:type="spellEnd"/>
      <w:r w:rsidRPr="00B76F70">
        <w:rPr>
          <w:color w:val="000000" w:themeColor="text1"/>
        </w:rPr>
        <w:t xml:space="preserve"> (</w:t>
      </w:r>
      <w:proofErr w:type="spellStart"/>
      <w:r w:rsidRPr="00B76F70">
        <w:rPr>
          <w:color w:val="000000" w:themeColor="text1"/>
        </w:rPr>
        <w:t>Ramjorde</w:t>
      </w:r>
      <w:proofErr w:type="spellEnd"/>
      <w:r w:rsidRPr="00B76F70">
        <w:rPr>
          <w:color w:val="000000" w:themeColor="text1"/>
        </w:rPr>
        <w:t>, 1959).</w:t>
      </w:r>
    </w:p>
    <w:p w:rsidR="00F378E9" w:rsidRDefault="00F378E9" w:rsidP="00F378E9">
      <w:pPr>
        <w:pStyle w:val="af6"/>
      </w:pPr>
      <w:bookmarkStart w:id="0" w:name="_GoBack"/>
      <w:bookmarkEnd w:id="0"/>
      <w:r>
        <w:t xml:space="preserve">Состоит из двух компонентов: воспаление (гингивит) и деструкция тканей пародонта (глубина </w:t>
      </w:r>
      <w:proofErr w:type="spellStart"/>
      <w:r>
        <w:t>пародонтальных</w:t>
      </w:r>
      <w:proofErr w:type="spellEnd"/>
      <w:r>
        <w:t xml:space="preserve"> карманов).</w:t>
      </w:r>
    </w:p>
    <w:p w:rsidR="00F378E9" w:rsidRDefault="00F378E9" w:rsidP="00F378E9">
      <w:pPr>
        <w:pStyle w:val="af6"/>
      </w:pPr>
      <w:r>
        <w:rPr>
          <w:u w:val="single"/>
        </w:rPr>
        <w:t>Методика определения.</w:t>
      </w:r>
      <w:r>
        <w:t xml:space="preserve"> Изучают состояние пародонта около 6-ти зубов: 16, 21, 24, 36, 41, 44. Если учитываемые зубы отсутствуют, то оценку проводят у соседних зубов. Выражают в баллах:</w:t>
      </w:r>
    </w:p>
    <w:p w:rsidR="00F378E9" w:rsidRDefault="00F378E9" w:rsidP="00F378E9">
      <w:pPr>
        <w:pStyle w:val="af6"/>
      </w:pPr>
      <w:r>
        <w:rPr>
          <w:i/>
          <w:iCs/>
        </w:rPr>
        <w:t>А - для гингивита:</w:t>
      </w:r>
    </w:p>
    <w:p w:rsidR="00F378E9" w:rsidRDefault="00F378E9" w:rsidP="00F378E9">
      <w:pPr>
        <w:pStyle w:val="af6"/>
      </w:pPr>
      <w:r>
        <w:t>0 - воспаление отсутствует;</w:t>
      </w:r>
    </w:p>
    <w:p w:rsidR="00F378E9" w:rsidRDefault="00F378E9" w:rsidP="00F378E9">
      <w:pPr>
        <w:pStyle w:val="af6"/>
      </w:pPr>
      <w:r>
        <w:t>1 - легкий гингивит (воспаление не распространяется вокруг зуба);</w:t>
      </w:r>
    </w:p>
    <w:p w:rsidR="00F378E9" w:rsidRDefault="00F378E9" w:rsidP="00F378E9">
      <w:pPr>
        <w:pStyle w:val="af6"/>
      </w:pPr>
      <w:r>
        <w:t>2 - гингивит средней тяжести (охватывает десну вокруг зуба);</w:t>
      </w:r>
    </w:p>
    <w:p w:rsidR="00F378E9" w:rsidRDefault="00F378E9" w:rsidP="00F378E9">
      <w:pPr>
        <w:pStyle w:val="af6"/>
      </w:pPr>
      <w:r>
        <w:t>3 - тяжелый гингивит (выраженная гиперемия, кровоточивость, изъязвление, но эпителиальное прикрепление не нарушено).</w:t>
      </w:r>
    </w:p>
    <w:p w:rsidR="00F378E9" w:rsidRDefault="00F378E9" w:rsidP="00F378E9">
      <w:pPr>
        <w:pStyle w:val="af6"/>
      </w:pPr>
      <w:r>
        <w:rPr>
          <w:i/>
          <w:iCs/>
        </w:rPr>
        <w:t xml:space="preserve">Б - для </w:t>
      </w:r>
      <w:proofErr w:type="spellStart"/>
      <w:r>
        <w:rPr>
          <w:i/>
          <w:iCs/>
        </w:rPr>
        <w:t>пародонтальных</w:t>
      </w:r>
      <w:proofErr w:type="spellEnd"/>
      <w:r>
        <w:rPr>
          <w:i/>
          <w:iCs/>
        </w:rPr>
        <w:t xml:space="preserve"> карманов:</w:t>
      </w:r>
    </w:p>
    <w:p w:rsidR="00F378E9" w:rsidRDefault="00F378E9" w:rsidP="00F378E9">
      <w:pPr>
        <w:pStyle w:val="af6"/>
      </w:pPr>
      <w:r>
        <w:t>4 - расстояние от дна кармана до эмалево-цементной границы не более 3 мм;</w:t>
      </w:r>
    </w:p>
    <w:p w:rsidR="00F378E9" w:rsidRDefault="00F378E9" w:rsidP="00F378E9">
      <w:pPr>
        <w:pStyle w:val="af6"/>
      </w:pPr>
      <w:r>
        <w:t>5 - расстояние от дна кармана до эмалево-цементной границы от 3 до 6 мм;</w:t>
      </w:r>
    </w:p>
    <w:p w:rsidR="00F378E9" w:rsidRDefault="00F378E9" w:rsidP="00F378E9">
      <w:pPr>
        <w:pStyle w:val="af6"/>
      </w:pPr>
      <w:r>
        <w:t>6 - расстояние от дна кармана до эмалево-цементной границы свыше 6 мм.</w:t>
      </w:r>
    </w:p>
    <w:p w:rsidR="00F378E9" w:rsidRDefault="00F378E9" w:rsidP="00F378E9">
      <w:pPr>
        <w:pStyle w:val="af6"/>
      </w:pPr>
      <w:r>
        <w:t xml:space="preserve">Индекс </w:t>
      </w:r>
      <w:proofErr w:type="spellStart"/>
      <w:r>
        <w:t>Рамфьерда</w:t>
      </w:r>
      <w:proofErr w:type="spellEnd"/>
      <w:r>
        <w:t xml:space="preserve"> определяют по формуле:</w:t>
      </w:r>
    </w:p>
    <w:p w:rsidR="00F378E9" w:rsidRDefault="00F378E9" w:rsidP="00F378E9">
      <w:pPr>
        <w:pStyle w:val="af6"/>
      </w:pPr>
      <w:r>
        <w:t> </w:t>
      </w:r>
    </w:p>
    <w:p w:rsidR="00F378E9" w:rsidRDefault="00F378E9" w:rsidP="00F378E9">
      <w:pPr>
        <w:pStyle w:val="af6"/>
      </w:pPr>
      <w:r>
        <w:t>S (А + Б)</w:t>
      </w:r>
    </w:p>
    <w:p w:rsidR="00F378E9" w:rsidRDefault="00F378E9" w:rsidP="00F378E9">
      <w:pPr>
        <w:pStyle w:val="af6"/>
      </w:pPr>
      <w:r>
        <w:t>IR = ¾¾¾¾¾¾,</w:t>
      </w:r>
    </w:p>
    <w:p w:rsidR="00F378E9" w:rsidRDefault="00F378E9" w:rsidP="00F378E9">
      <w:pPr>
        <w:pStyle w:val="af6"/>
      </w:pPr>
      <w:r>
        <w:t xml:space="preserve">где S (А + Б) - сумма баллов для гингивита и </w:t>
      </w:r>
      <w:proofErr w:type="spellStart"/>
      <w:r>
        <w:t>пародонтального</w:t>
      </w:r>
      <w:proofErr w:type="spellEnd"/>
      <w:r>
        <w:t xml:space="preserve"> кармана у каждого зуба;</w:t>
      </w:r>
    </w:p>
    <w:p w:rsidR="00F378E9" w:rsidRPr="00E22472" w:rsidRDefault="00F378E9" w:rsidP="00F378E9">
      <w:pPr>
        <w:pStyle w:val="af6"/>
        <w:rPr>
          <w:rStyle w:val="a7"/>
        </w:rPr>
      </w:pPr>
      <w:r>
        <w:t>6 - число обследованных зубов.</w:t>
      </w: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Pr="004D1803"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sectPr w:rsidR="00F378E9" w:rsidRPr="004D1803" w:rsidSect="00B7395F">
      <w:footerReference w:type="even" r:id="rId9"/>
      <w:footerReference w:type="default" r:id="rId10"/>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D24" w:rsidRDefault="008B4D24">
      <w:pPr>
        <w:spacing w:after="0" w:line="240" w:lineRule="auto"/>
      </w:pPr>
      <w:r>
        <w:separator/>
      </w:r>
    </w:p>
  </w:endnote>
  <w:endnote w:type="continuationSeparator" w:id="0">
    <w:p w:rsidR="008B4D24" w:rsidRDefault="008B4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end"/>
    </w:r>
  </w:p>
  <w:p w:rsidR="007B3902" w:rsidRDefault="007B3902" w:rsidP="00B7395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separate"/>
    </w:r>
    <w:r w:rsidR="00F378E9">
      <w:rPr>
        <w:rStyle w:val="a7"/>
        <w:rFonts w:eastAsia="MS Mincho"/>
        <w:noProof/>
      </w:rPr>
      <w:t>8</w:t>
    </w:r>
    <w:r>
      <w:rPr>
        <w:rStyle w:val="a7"/>
        <w:rFonts w:eastAsia="MS Mincho"/>
      </w:rPr>
      <w:fldChar w:fldCharType="end"/>
    </w:r>
  </w:p>
  <w:p w:rsidR="007B3902" w:rsidRDefault="007B390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D24" w:rsidRDefault="008B4D24">
      <w:pPr>
        <w:spacing w:after="0" w:line="240" w:lineRule="auto"/>
      </w:pPr>
      <w:r>
        <w:separator/>
      </w:r>
    </w:p>
  </w:footnote>
  <w:footnote w:type="continuationSeparator" w:id="0">
    <w:p w:rsidR="008B4D24" w:rsidRDefault="008B4D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4CAD"/>
    <w:multiLevelType w:val="hybridMultilevel"/>
    <w:tmpl w:val="1CAE838A"/>
    <w:lvl w:ilvl="0" w:tplc="D668086A">
      <w:start w:val="1"/>
      <w:numFmt w:val="bullet"/>
      <w:lvlText w:val="В"/>
      <w:lvlJc w:val="left"/>
    </w:lvl>
    <w:lvl w:ilvl="1" w:tplc="328EFF74">
      <w:numFmt w:val="decimal"/>
      <w:lvlText w:val=""/>
      <w:lvlJc w:val="left"/>
    </w:lvl>
    <w:lvl w:ilvl="2" w:tplc="A2D67464">
      <w:numFmt w:val="decimal"/>
      <w:lvlText w:val=""/>
      <w:lvlJc w:val="left"/>
    </w:lvl>
    <w:lvl w:ilvl="3" w:tplc="9470F0EC">
      <w:numFmt w:val="decimal"/>
      <w:lvlText w:val=""/>
      <w:lvlJc w:val="left"/>
    </w:lvl>
    <w:lvl w:ilvl="4" w:tplc="21D41E2C">
      <w:numFmt w:val="decimal"/>
      <w:lvlText w:val=""/>
      <w:lvlJc w:val="left"/>
    </w:lvl>
    <w:lvl w:ilvl="5" w:tplc="FBA2067E">
      <w:numFmt w:val="decimal"/>
      <w:lvlText w:val=""/>
      <w:lvlJc w:val="left"/>
    </w:lvl>
    <w:lvl w:ilvl="6" w:tplc="48A2042E">
      <w:numFmt w:val="decimal"/>
      <w:lvlText w:val=""/>
      <w:lvlJc w:val="left"/>
    </w:lvl>
    <w:lvl w:ilvl="7" w:tplc="D7404B68">
      <w:numFmt w:val="decimal"/>
      <w:lvlText w:val=""/>
      <w:lvlJc w:val="left"/>
    </w:lvl>
    <w:lvl w:ilvl="8" w:tplc="5DCE3970">
      <w:numFmt w:val="decimal"/>
      <w:lvlText w:val=""/>
      <w:lvlJc w:val="left"/>
    </w:lvl>
  </w:abstractNum>
  <w:abstractNum w:abstractNumId="2" w15:restartNumberingAfterBreak="0">
    <w:nsid w:val="00005F49"/>
    <w:multiLevelType w:val="hybridMultilevel"/>
    <w:tmpl w:val="20441AF8"/>
    <w:lvl w:ilvl="0" w:tplc="09765622">
      <w:start w:val="1"/>
      <w:numFmt w:val="bullet"/>
      <w:lvlText w:val="с"/>
      <w:lvlJc w:val="left"/>
    </w:lvl>
    <w:lvl w:ilvl="1" w:tplc="B6E8806E">
      <w:numFmt w:val="decimal"/>
      <w:lvlText w:val=""/>
      <w:lvlJc w:val="left"/>
    </w:lvl>
    <w:lvl w:ilvl="2" w:tplc="5F388082">
      <w:numFmt w:val="decimal"/>
      <w:lvlText w:val=""/>
      <w:lvlJc w:val="left"/>
    </w:lvl>
    <w:lvl w:ilvl="3" w:tplc="91B67B9C">
      <w:numFmt w:val="decimal"/>
      <w:lvlText w:val=""/>
      <w:lvlJc w:val="left"/>
    </w:lvl>
    <w:lvl w:ilvl="4" w:tplc="94CCFE66">
      <w:numFmt w:val="decimal"/>
      <w:lvlText w:val=""/>
      <w:lvlJc w:val="left"/>
    </w:lvl>
    <w:lvl w:ilvl="5" w:tplc="233E8BEA">
      <w:numFmt w:val="decimal"/>
      <w:lvlText w:val=""/>
      <w:lvlJc w:val="left"/>
    </w:lvl>
    <w:lvl w:ilvl="6" w:tplc="0D76D710">
      <w:numFmt w:val="decimal"/>
      <w:lvlText w:val=""/>
      <w:lvlJc w:val="left"/>
    </w:lvl>
    <w:lvl w:ilvl="7" w:tplc="FEE2DA50">
      <w:numFmt w:val="decimal"/>
      <w:lvlText w:val=""/>
      <w:lvlJc w:val="left"/>
    </w:lvl>
    <w:lvl w:ilvl="8" w:tplc="EA6AA06C">
      <w:numFmt w:val="decimal"/>
      <w:lvlText w:val=""/>
      <w:lvlJc w:val="left"/>
    </w:lvl>
  </w:abstractNum>
  <w:abstractNum w:abstractNumId="3"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7A256E"/>
    <w:multiLevelType w:val="hybridMultilevel"/>
    <w:tmpl w:val="2144B6A8"/>
    <w:lvl w:ilvl="0" w:tplc="5D50493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3"/>
  </w:num>
  <w:num w:numId="2">
    <w:abstractNumId w:val="5"/>
  </w:num>
  <w:num w:numId="3">
    <w:abstractNumId w:val="4"/>
  </w:num>
  <w:num w:numId="4">
    <w:abstractNumId w:val="1"/>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0501A"/>
    <w:rsid w:val="00021D18"/>
    <w:rsid w:val="00045E0E"/>
    <w:rsid w:val="00087F34"/>
    <w:rsid w:val="00143E22"/>
    <w:rsid w:val="001822B9"/>
    <w:rsid w:val="001D5554"/>
    <w:rsid w:val="001F06BE"/>
    <w:rsid w:val="0021345D"/>
    <w:rsid w:val="00253474"/>
    <w:rsid w:val="00294BED"/>
    <w:rsid w:val="00312055"/>
    <w:rsid w:val="00321A56"/>
    <w:rsid w:val="00323627"/>
    <w:rsid w:val="003E4F49"/>
    <w:rsid w:val="0040076D"/>
    <w:rsid w:val="004101DF"/>
    <w:rsid w:val="004302CF"/>
    <w:rsid w:val="004747CD"/>
    <w:rsid w:val="004829B1"/>
    <w:rsid w:val="00483485"/>
    <w:rsid w:val="004970BF"/>
    <w:rsid w:val="004D1803"/>
    <w:rsid w:val="004E6218"/>
    <w:rsid w:val="005010D7"/>
    <w:rsid w:val="00514658"/>
    <w:rsid w:val="00516F46"/>
    <w:rsid w:val="00575193"/>
    <w:rsid w:val="005866D4"/>
    <w:rsid w:val="005A63B4"/>
    <w:rsid w:val="00627D5F"/>
    <w:rsid w:val="0066178B"/>
    <w:rsid w:val="00667CCB"/>
    <w:rsid w:val="006F5FDB"/>
    <w:rsid w:val="0071483B"/>
    <w:rsid w:val="0079527E"/>
    <w:rsid w:val="007B38A2"/>
    <w:rsid w:val="007B3902"/>
    <w:rsid w:val="008219AD"/>
    <w:rsid w:val="00865E58"/>
    <w:rsid w:val="008945F5"/>
    <w:rsid w:val="008B4D24"/>
    <w:rsid w:val="008C3580"/>
    <w:rsid w:val="008D5C7A"/>
    <w:rsid w:val="008D7E7E"/>
    <w:rsid w:val="008E4BAA"/>
    <w:rsid w:val="0095073C"/>
    <w:rsid w:val="00992B21"/>
    <w:rsid w:val="009D376D"/>
    <w:rsid w:val="009E2706"/>
    <w:rsid w:val="00A4258A"/>
    <w:rsid w:val="00A5750E"/>
    <w:rsid w:val="00B15764"/>
    <w:rsid w:val="00B367D6"/>
    <w:rsid w:val="00B705A2"/>
    <w:rsid w:val="00B7395F"/>
    <w:rsid w:val="00B74004"/>
    <w:rsid w:val="00C45C4C"/>
    <w:rsid w:val="00C570A3"/>
    <w:rsid w:val="00C60AE7"/>
    <w:rsid w:val="00CE6CB4"/>
    <w:rsid w:val="00CF35AC"/>
    <w:rsid w:val="00D069B1"/>
    <w:rsid w:val="00D128D9"/>
    <w:rsid w:val="00D370AB"/>
    <w:rsid w:val="00D540DC"/>
    <w:rsid w:val="00D664FF"/>
    <w:rsid w:val="00DA28F4"/>
    <w:rsid w:val="00DF6AFB"/>
    <w:rsid w:val="00E07487"/>
    <w:rsid w:val="00E0773E"/>
    <w:rsid w:val="00E112D0"/>
    <w:rsid w:val="00E34F84"/>
    <w:rsid w:val="00E46A3A"/>
    <w:rsid w:val="00EB2AD1"/>
    <w:rsid w:val="00EE0F7D"/>
    <w:rsid w:val="00F378E9"/>
    <w:rsid w:val="00FD7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4025F-0EA0-45BA-BAAF-94A178C6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004"/>
  </w:style>
  <w:style w:type="paragraph" w:styleId="1">
    <w:name w:val="heading 1"/>
    <w:basedOn w:val="a0"/>
    <w:next w:val="a0"/>
    <w:link w:val="10"/>
    <w:uiPriority w:val="9"/>
    <w:qFormat/>
    <w:rsid w:val="00005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0050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00501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654789">
      <w:bodyDiv w:val="1"/>
      <w:marLeft w:val="0"/>
      <w:marRight w:val="0"/>
      <w:marTop w:val="0"/>
      <w:marBottom w:val="0"/>
      <w:divBdr>
        <w:top w:val="none" w:sz="0" w:space="0" w:color="auto"/>
        <w:left w:val="none" w:sz="0" w:space="0" w:color="auto"/>
        <w:bottom w:val="none" w:sz="0" w:space="0" w:color="auto"/>
        <w:right w:val="none" w:sz="0" w:space="0" w:color="auto"/>
      </w:divBdr>
      <w:divsChild>
        <w:div w:id="2017271624">
          <w:marLeft w:val="0"/>
          <w:marRight w:val="0"/>
          <w:marTop w:val="0"/>
          <w:marBottom w:val="0"/>
          <w:divBdr>
            <w:top w:val="none" w:sz="0" w:space="0" w:color="auto"/>
            <w:left w:val="none" w:sz="0" w:space="0" w:color="auto"/>
            <w:bottom w:val="none" w:sz="0" w:space="0" w:color="auto"/>
            <w:right w:val="none" w:sz="0" w:space="0" w:color="auto"/>
          </w:divBdr>
        </w:div>
      </w:divsChild>
    </w:div>
    <w:div w:id="718288028">
      <w:bodyDiv w:val="1"/>
      <w:marLeft w:val="0"/>
      <w:marRight w:val="0"/>
      <w:marTop w:val="0"/>
      <w:marBottom w:val="0"/>
      <w:divBdr>
        <w:top w:val="none" w:sz="0" w:space="0" w:color="auto"/>
        <w:left w:val="none" w:sz="0" w:space="0" w:color="auto"/>
        <w:bottom w:val="none" w:sz="0" w:space="0" w:color="auto"/>
        <w:right w:val="none" w:sz="0" w:space="0" w:color="auto"/>
      </w:divBdr>
    </w:div>
    <w:div w:id="1304895525">
      <w:bodyDiv w:val="1"/>
      <w:marLeft w:val="0"/>
      <w:marRight w:val="0"/>
      <w:marTop w:val="0"/>
      <w:marBottom w:val="0"/>
      <w:divBdr>
        <w:top w:val="none" w:sz="0" w:space="0" w:color="auto"/>
        <w:left w:val="none" w:sz="0" w:space="0" w:color="auto"/>
        <w:bottom w:val="none" w:sz="0" w:space="0" w:color="auto"/>
        <w:right w:val="none" w:sz="0" w:space="0" w:color="auto"/>
      </w:divBdr>
    </w:div>
    <w:div w:id="1607158539">
      <w:bodyDiv w:val="1"/>
      <w:marLeft w:val="0"/>
      <w:marRight w:val="0"/>
      <w:marTop w:val="0"/>
      <w:marBottom w:val="0"/>
      <w:divBdr>
        <w:top w:val="none" w:sz="0" w:space="0" w:color="auto"/>
        <w:left w:val="none" w:sz="0" w:space="0" w:color="auto"/>
        <w:bottom w:val="none" w:sz="0" w:space="0" w:color="auto"/>
        <w:right w:val="none" w:sz="0" w:space="0" w:color="auto"/>
      </w:divBdr>
      <w:divsChild>
        <w:div w:id="76476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8179C-EFD1-4106-AF0B-BDD52BE7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1807</Words>
  <Characters>10302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6</cp:revision>
  <cp:lastPrinted>2012-11-12T02:54:00Z</cp:lastPrinted>
  <dcterms:created xsi:type="dcterms:W3CDTF">2024-05-14T10:47:00Z</dcterms:created>
  <dcterms:modified xsi:type="dcterms:W3CDTF">2024-05-14T11:00:00Z</dcterms:modified>
</cp:coreProperties>
</file>