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9D5CD5" w14:textId="77777777" w:rsidR="00220BFD" w:rsidRDefault="00220BFD" w:rsidP="00220BFD">
      <w:pPr>
        <w:rPr>
          <w:b/>
          <w:bCs/>
          <w:sz w:val="28"/>
          <w:szCs w:val="28"/>
        </w:rPr>
      </w:pPr>
    </w:p>
    <w:p w14:paraId="12FF26BB" w14:textId="77777777" w:rsidR="00220BFD" w:rsidRPr="00930DFE" w:rsidRDefault="00220BFD" w:rsidP="00220BF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0DFE">
        <w:rPr>
          <w:rFonts w:ascii="Times New Roman" w:hAnsi="Times New Roman" w:cs="Times New Roman"/>
          <w:b/>
          <w:sz w:val="28"/>
          <w:szCs w:val="28"/>
        </w:rPr>
        <w:t>Федеральное государственное бюджетное образовательное учреждение высшего образования</w:t>
      </w:r>
    </w:p>
    <w:p w14:paraId="617D951F" w14:textId="77777777" w:rsidR="00220BFD" w:rsidRPr="00930DFE" w:rsidRDefault="00220BFD" w:rsidP="00220BF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0DFE">
        <w:rPr>
          <w:rFonts w:ascii="Times New Roman" w:hAnsi="Times New Roman" w:cs="Times New Roman"/>
          <w:b/>
          <w:sz w:val="28"/>
          <w:szCs w:val="28"/>
        </w:rPr>
        <w:t>«Новосибирский государственный медицинский университет»</w:t>
      </w:r>
    </w:p>
    <w:p w14:paraId="29CEA127" w14:textId="77777777" w:rsidR="00220BFD" w:rsidRPr="00930DFE" w:rsidRDefault="00220BFD" w:rsidP="00220BF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0DFE">
        <w:rPr>
          <w:rFonts w:ascii="Times New Roman" w:hAnsi="Times New Roman" w:cs="Times New Roman"/>
          <w:b/>
          <w:sz w:val="28"/>
          <w:szCs w:val="28"/>
        </w:rPr>
        <w:t>Министерства здравоохранения  Российской Федерации</w:t>
      </w:r>
    </w:p>
    <w:p w14:paraId="7709154E" w14:textId="77777777" w:rsidR="00220BFD" w:rsidRPr="00930DFE" w:rsidRDefault="00220BFD" w:rsidP="00220BF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0DFE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2255C92" wp14:editId="3E5D0024">
                <wp:simplePos x="0" y="0"/>
                <wp:positionH relativeFrom="column">
                  <wp:posOffset>4720963</wp:posOffset>
                </wp:positionH>
                <wp:positionV relativeFrom="paragraph">
                  <wp:posOffset>243840</wp:posOffset>
                </wp:positionV>
                <wp:extent cx="2657475" cy="1810385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657475" cy="1810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3B11F5" w14:textId="77777777" w:rsidR="00220BFD" w:rsidRPr="005007C3" w:rsidRDefault="00220BFD" w:rsidP="00220BFD"/>
                          <w:p w14:paraId="2D2C94DC" w14:textId="473ED011" w:rsidR="00220BFD" w:rsidRPr="005007C3" w:rsidRDefault="00093368" w:rsidP="00220BFD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FC0F3EB" wp14:editId="385A4CBF">
                                  <wp:extent cx="1646892" cy="1558277"/>
                                  <wp:effectExtent l="0" t="0" r="0" b="0"/>
                                  <wp:docPr id="616530677" name="Рисунок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16530677" name="Рисунок 1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7">
                                                    <a14:imgEffect>
                                                      <a14:sharpenSoften amount="50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655533" cy="156645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2255C9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71.75pt;margin-top:19.2pt;width:209.25pt;height:142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" stroked="f">
                <v:path arrowok="t"/>
                <v:textbox>
                  <w:txbxContent>
                    <w:p w14:paraId="183B11F5" w14:textId="77777777" w:rsidR="00220BFD" w:rsidRPr="005007C3" w:rsidRDefault="00220BFD" w:rsidP="00220BFD"/>
                    <w:p w14:paraId="2D2C94DC" w14:textId="473ED011" w:rsidR="00220BFD" w:rsidRPr="005007C3" w:rsidRDefault="00093368" w:rsidP="00220BFD">
                      <w:r>
                        <w:rPr>
                          <w:noProof/>
                        </w:rPr>
                        <w:drawing>
                          <wp:inline distT="0" distB="0" distL="0" distR="0" wp14:anchorId="4FC0F3EB" wp14:editId="385A4CBF">
                            <wp:extent cx="1646892" cy="1558277"/>
                            <wp:effectExtent l="0" t="0" r="0" b="0"/>
                            <wp:docPr id="616530677" name="Рисунок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616530677" name="Рисунок 1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7">
                                              <a14:imgEffect>
                                                <a14:sharpenSoften amount="50000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655533" cy="156645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930DFE">
        <w:rPr>
          <w:rFonts w:ascii="Times New Roman" w:hAnsi="Times New Roman" w:cs="Times New Roman"/>
          <w:b/>
          <w:sz w:val="28"/>
          <w:szCs w:val="28"/>
        </w:rPr>
        <w:t>(ФГБОУ ВО НГМУ Минздрава России)</w:t>
      </w:r>
    </w:p>
    <w:p w14:paraId="32833DC2" w14:textId="77777777" w:rsidR="00220BFD" w:rsidRPr="00930DFE" w:rsidRDefault="00220BFD" w:rsidP="00220BF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FE50F05" w14:textId="77777777" w:rsidR="00220BFD" w:rsidRPr="00930DFE" w:rsidRDefault="00220BFD" w:rsidP="00220BF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17E20F6" w14:textId="77777777" w:rsidR="00220BFD" w:rsidRPr="00930DFE" w:rsidRDefault="00220BFD" w:rsidP="00220BF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EC357CF" w14:textId="77777777" w:rsidR="00220BFD" w:rsidRPr="00930DFE" w:rsidRDefault="00220BFD" w:rsidP="00220BF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70C5CE4" w14:textId="77777777" w:rsidR="00220BFD" w:rsidRPr="00930DFE" w:rsidRDefault="00220BFD" w:rsidP="00220BFD">
      <w:pPr>
        <w:tabs>
          <w:tab w:val="left" w:pos="5715"/>
        </w:tabs>
        <w:suppressAutoHyphens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930DFE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        </w:t>
      </w:r>
    </w:p>
    <w:p w14:paraId="4054759D" w14:textId="77777777" w:rsidR="00220BFD" w:rsidRPr="00930DFE" w:rsidRDefault="00220BFD" w:rsidP="00220BFD">
      <w:pPr>
        <w:tabs>
          <w:tab w:val="left" w:pos="5715"/>
        </w:tabs>
        <w:suppressAutoHyphens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30DFE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                   МЕТОДИЧЕСКИЕ УКАЗАНИЯ ДЛЯ СТУДЕНТОВ</w:t>
      </w:r>
    </w:p>
    <w:p w14:paraId="0330D943" w14:textId="77777777" w:rsidR="00220BFD" w:rsidRPr="00930DFE" w:rsidRDefault="00220BFD" w:rsidP="00220BFD">
      <w:pPr>
        <w:suppressAutoHyphens/>
        <w:ind w:left="2832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30DFE">
        <w:rPr>
          <w:rFonts w:ascii="Times New Roman" w:eastAsia="Times New Roman" w:hAnsi="Times New Roman" w:cs="Times New Roman"/>
          <w:sz w:val="28"/>
          <w:szCs w:val="28"/>
          <w:lang w:eastAsia="ar-SA"/>
        </w:rPr>
        <w:t>Практическое занятие № 4</w:t>
      </w:r>
    </w:p>
    <w:p w14:paraId="040B8EEC" w14:textId="77777777" w:rsidR="00220BFD" w:rsidRPr="00930DFE" w:rsidRDefault="00220BFD" w:rsidP="00220BF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30DFE">
        <w:rPr>
          <w:rFonts w:ascii="Times New Roman" w:eastAsia="Times New Roman" w:hAnsi="Times New Roman" w:cs="Times New Roman"/>
          <w:b/>
          <w:sz w:val="28"/>
          <w:szCs w:val="28"/>
        </w:rPr>
        <w:t xml:space="preserve">Тема:  </w:t>
      </w:r>
      <w:r w:rsidRPr="00930DFE">
        <w:rPr>
          <w:rFonts w:ascii="Times New Roman" w:hAnsi="Times New Roman" w:cs="Times New Roman"/>
          <w:b/>
          <w:bCs/>
          <w:sz w:val="28"/>
          <w:szCs w:val="28"/>
        </w:rPr>
        <w:t>«</w:t>
      </w:r>
      <w:r>
        <w:rPr>
          <w:rFonts w:ascii="Times New Roman" w:hAnsi="Times New Roman" w:cs="Times New Roman"/>
          <w:b/>
          <w:bCs/>
          <w:sz w:val="28"/>
          <w:szCs w:val="28"/>
        </w:rPr>
        <w:t>Первичная профилактика предрака и рака слизистой оболочки полости рта</w:t>
      </w:r>
      <w:r w:rsidRPr="00930DFE">
        <w:rPr>
          <w:rFonts w:ascii="Times New Roman" w:hAnsi="Times New Roman" w:cs="Times New Roman"/>
          <w:b/>
          <w:bCs/>
          <w:sz w:val="28"/>
          <w:szCs w:val="28"/>
        </w:rPr>
        <w:t>».</w:t>
      </w:r>
    </w:p>
    <w:p w14:paraId="4A76B453" w14:textId="77777777" w:rsidR="00220BFD" w:rsidRPr="00930DFE" w:rsidRDefault="00220BFD" w:rsidP="00220BFD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6F0B4A7" w14:textId="77777777" w:rsidR="00220BFD" w:rsidRPr="00930DFE" w:rsidRDefault="00220BFD" w:rsidP="00220BFD">
      <w:pPr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14:paraId="1B4F336D" w14:textId="77777777" w:rsidR="00220BFD" w:rsidRPr="00930DFE" w:rsidRDefault="00220BFD" w:rsidP="00220BFD">
      <w:pPr>
        <w:tabs>
          <w:tab w:val="left" w:pos="2385"/>
        </w:tabs>
        <w:suppressAutoHyphens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48749E62" w14:textId="77777777" w:rsidR="00220BFD" w:rsidRPr="00930DFE" w:rsidRDefault="00220BFD" w:rsidP="00220BFD">
      <w:pPr>
        <w:tabs>
          <w:tab w:val="left" w:pos="2385"/>
        </w:tabs>
        <w:suppressAutoHyphens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30DF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Дисциплина:  </w:t>
      </w:r>
      <w:r w:rsidRPr="00930DFE">
        <w:rPr>
          <w:rFonts w:ascii="Times New Roman" w:hAnsi="Times New Roman" w:cs="Times New Roman"/>
          <w:b/>
          <w:bCs/>
          <w:sz w:val="28"/>
          <w:szCs w:val="28"/>
        </w:rPr>
        <w:t>Стоматологические заболевания и их профилактика</w:t>
      </w:r>
    </w:p>
    <w:p w14:paraId="3CED01E0" w14:textId="77777777" w:rsidR="00220BFD" w:rsidRPr="00930DFE" w:rsidRDefault="00220BFD" w:rsidP="00220BFD">
      <w:pPr>
        <w:tabs>
          <w:tab w:val="left" w:pos="2385"/>
        </w:tabs>
        <w:suppressAutoHyphens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30DF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Направление подготовки:  </w:t>
      </w:r>
      <w:r w:rsidRPr="00930DFE">
        <w:rPr>
          <w:rFonts w:ascii="Times New Roman" w:hAnsi="Times New Roman" w:cs="Times New Roman"/>
          <w:sz w:val="28"/>
          <w:szCs w:val="28"/>
        </w:rPr>
        <w:t xml:space="preserve">31.02.06  </w:t>
      </w:r>
      <w:r w:rsidRPr="00930DFE">
        <w:rPr>
          <w:rFonts w:ascii="Times New Roman" w:eastAsia="Times New Roman" w:hAnsi="Times New Roman" w:cs="Times New Roman"/>
          <w:sz w:val="28"/>
          <w:szCs w:val="28"/>
        </w:rPr>
        <w:t>Стоматология профилактическая</w:t>
      </w:r>
    </w:p>
    <w:p w14:paraId="6B6DB3E8" w14:textId="77777777" w:rsidR="00220BFD" w:rsidRPr="00930DFE" w:rsidRDefault="00220BFD" w:rsidP="00220BFD">
      <w:pPr>
        <w:tabs>
          <w:tab w:val="left" w:pos="2385"/>
        </w:tabs>
        <w:suppressAutoHyphens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30DFE">
        <w:rPr>
          <w:rFonts w:ascii="Times New Roman" w:eastAsia="Times New Roman" w:hAnsi="Times New Roman" w:cs="Times New Roman"/>
          <w:sz w:val="28"/>
          <w:szCs w:val="28"/>
          <w:lang w:eastAsia="ar-SA"/>
        </w:rPr>
        <w:t>Форма обучения:   очная</w:t>
      </w:r>
    </w:p>
    <w:p w14:paraId="6A9BBAB3" w14:textId="77777777" w:rsidR="00220BFD" w:rsidRPr="00930DFE" w:rsidRDefault="00220BFD" w:rsidP="00220BFD">
      <w:pPr>
        <w:tabs>
          <w:tab w:val="left" w:pos="2385"/>
        </w:tabs>
        <w:suppressAutoHyphens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30DFE">
        <w:rPr>
          <w:rFonts w:ascii="Times New Roman" w:eastAsia="Times New Roman" w:hAnsi="Times New Roman" w:cs="Times New Roman"/>
          <w:sz w:val="28"/>
          <w:szCs w:val="28"/>
          <w:lang w:eastAsia="ar-SA"/>
        </w:rPr>
        <w:t>Курс  2</w:t>
      </w:r>
    </w:p>
    <w:p w14:paraId="735642C3" w14:textId="77777777" w:rsidR="00220BFD" w:rsidRPr="00930DFE" w:rsidRDefault="00220BFD" w:rsidP="00220BFD">
      <w:pPr>
        <w:tabs>
          <w:tab w:val="left" w:pos="2385"/>
        </w:tabs>
        <w:suppressAutoHyphens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4F4C1598" w14:textId="77777777" w:rsidR="00220BFD" w:rsidRPr="00930DFE" w:rsidRDefault="00220BFD" w:rsidP="00220BFD">
      <w:pPr>
        <w:tabs>
          <w:tab w:val="left" w:pos="2385"/>
        </w:tabs>
        <w:suppressAutoHyphens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30DFE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930DFE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930DFE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930DFE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930DFE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930DFE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930DFE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930DFE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>Регистрационный №______</w:t>
      </w:r>
    </w:p>
    <w:p w14:paraId="34E551A5" w14:textId="77777777" w:rsidR="00220BFD" w:rsidRPr="00930DFE" w:rsidRDefault="00220BFD" w:rsidP="00220BFD">
      <w:pPr>
        <w:tabs>
          <w:tab w:val="left" w:pos="2385"/>
        </w:tabs>
        <w:suppressAutoHyphens/>
        <w:ind w:left="708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  <w:sectPr w:rsidR="00220BFD" w:rsidRPr="00930DFE" w:rsidSect="002710C3">
          <w:footerReference w:type="even" r:id="rId8"/>
          <w:footerReference w:type="default" r:id="rId9"/>
          <w:pgSz w:w="11905" w:h="16837"/>
          <w:pgMar w:top="1134" w:right="567" w:bottom="1134" w:left="851" w:header="720" w:footer="709" w:gutter="0"/>
          <w:cols w:space="720"/>
          <w:docGrid w:linePitch="360"/>
        </w:sectPr>
      </w:pPr>
      <w:r w:rsidRPr="00930DF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                                                                                                        Экземпляр №_____</w:t>
      </w:r>
    </w:p>
    <w:p w14:paraId="5C79F038" w14:textId="77777777" w:rsidR="00220BFD" w:rsidRDefault="00220BFD" w:rsidP="00220BFD">
      <w:pPr>
        <w:pStyle w:val="1"/>
        <w:jc w:val="center"/>
        <w:rPr>
          <w:rFonts w:ascii="Times New Roman" w:hAnsi="Times New Roman" w:cs="Times New Roman"/>
          <w:i/>
          <w:iCs/>
          <w:color w:val="000000" w:themeColor="text1"/>
        </w:rPr>
      </w:pPr>
      <w:r w:rsidRPr="00220BFD">
        <w:rPr>
          <w:rFonts w:ascii="Times New Roman" w:hAnsi="Times New Roman" w:cs="Times New Roman"/>
          <w:i/>
          <w:iCs/>
          <w:color w:val="000000" w:themeColor="text1"/>
        </w:rPr>
        <w:lastRenderedPageBreak/>
        <w:t>Предраковые заболевания</w:t>
      </w:r>
      <w:r>
        <w:rPr>
          <w:rFonts w:ascii="Times New Roman" w:hAnsi="Times New Roman" w:cs="Times New Roman"/>
          <w:i/>
          <w:iCs/>
          <w:color w:val="000000" w:themeColor="text1"/>
        </w:rPr>
        <w:t xml:space="preserve"> полости рта.</w:t>
      </w:r>
    </w:p>
    <w:p w14:paraId="4D0186E9" w14:textId="77777777" w:rsidR="00220BFD" w:rsidRPr="00220BFD" w:rsidRDefault="00220BFD" w:rsidP="00220BFD">
      <w:r>
        <w:tab/>
      </w:r>
    </w:p>
    <w:p w14:paraId="4EA16811" w14:textId="77777777" w:rsidR="00220BFD" w:rsidRDefault="00220BFD" w:rsidP="00992D00">
      <w:pPr>
        <w:rPr>
          <w:rStyle w:val="a6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20BFD">
        <w:rPr>
          <w:rFonts w:ascii="Times New Roman" w:hAnsi="Times New Roman" w:cs="Times New Roman"/>
          <w:sz w:val="28"/>
          <w:szCs w:val="28"/>
          <w:shd w:val="clear" w:color="auto" w:fill="FFFFFF"/>
        </w:rPr>
        <w:t>Предраковые заболевания - это патологические процессы, с большей или меньшей частотой предшествующие злокачественным новообразованиям. Согласно классификации Всесоюзного комитета по изучению опухолей головы и шеи (1977), основанной на классификации А. Л. Машкиллейсона, различают следующие формы предрака слизистой оболочки полости рта и красной каймы губ.</w:t>
      </w:r>
      <w:r w:rsidRPr="00220BFD">
        <w:rPr>
          <w:rFonts w:ascii="Times New Roman" w:hAnsi="Times New Roman" w:cs="Times New Roman"/>
          <w:sz w:val="28"/>
          <w:szCs w:val="28"/>
        </w:rPr>
        <w:br/>
      </w:r>
    </w:p>
    <w:p w14:paraId="212242B2" w14:textId="77777777" w:rsidR="00B836A5" w:rsidRDefault="00220BFD" w:rsidP="00220BFD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20BFD">
        <w:rPr>
          <w:rStyle w:val="a6"/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Классификация предраковых заболеваний слизистой оболочки полости рта:</w:t>
      </w:r>
      <w:r w:rsidRPr="00220BFD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220BFD">
        <w:rPr>
          <w:rFonts w:ascii="Times New Roman" w:hAnsi="Times New Roman" w:cs="Times New Roman"/>
          <w:b/>
          <w:bCs/>
          <w:sz w:val="28"/>
          <w:szCs w:val="28"/>
          <w:u w:val="single"/>
          <w:shd w:val="clear" w:color="auto" w:fill="FFFFFF"/>
        </w:rPr>
        <w:t>С высокой частотой озлокачествления (облигатные):</w:t>
      </w:r>
      <w:r w:rsidRPr="00220BFD">
        <w:rPr>
          <w:rFonts w:ascii="Times New Roman" w:hAnsi="Times New Roman" w:cs="Times New Roman"/>
          <w:sz w:val="28"/>
          <w:szCs w:val="28"/>
        </w:rPr>
        <w:br/>
      </w:r>
      <w:r w:rsidRPr="00220BFD">
        <w:rPr>
          <w:rFonts w:ascii="Times New Roman" w:hAnsi="Times New Roman" w:cs="Times New Roman"/>
          <w:sz w:val="28"/>
          <w:szCs w:val="28"/>
          <w:shd w:val="clear" w:color="auto" w:fill="FFFFFF"/>
        </w:rPr>
        <w:t>1. Болезнь Боуэна.</w:t>
      </w:r>
      <w:r w:rsidRPr="00220BFD">
        <w:rPr>
          <w:rFonts w:ascii="Times New Roman" w:hAnsi="Times New Roman" w:cs="Times New Roman"/>
          <w:sz w:val="28"/>
          <w:szCs w:val="28"/>
        </w:rPr>
        <w:br/>
      </w:r>
      <w:r w:rsidRPr="00B836A5">
        <w:rPr>
          <w:rFonts w:ascii="Times New Roman" w:hAnsi="Times New Roman" w:cs="Times New Roman"/>
          <w:b/>
          <w:bCs/>
          <w:sz w:val="28"/>
          <w:szCs w:val="28"/>
          <w:u w:val="single"/>
          <w:shd w:val="clear" w:color="auto" w:fill="FFFFFF"/>
        </w:rPr>
        <w:t>С малой частотой озлокачествления (факультативные):</w:t>
      </w:r>
      <w:r w:rsidRPr="00220BFD">
        <w:rPr>
          <w:rFonts w:ascii="Times New Roman" w:hAnsi="Times New Roman" w:cs="Times New Roman"/>
          <w:sz w:val="28"/>
          <w:szCs w:val="28"/>
          <w:u w:val="single"/>
        </w:rPr>
        <w:br/>
      </w:r>
      <w:r w:rsidRPr="00220BFD">
        <w:rPr>
          <w:rFonts w:ascii="Times New Roman" w:hAnsi="Times New Roman" w:cs="Times New Roman"/>
          <w:sz w:val="28"/>
          <w:szCs w:val="28"/>
          <w:shd w:val="clear" w:color="auto" w:fill="FFFFFF"/>
        </w:rPr>
        <w:t>1. Лейкоплакия (эрозивная и веррукозная);</w:t>
      </w:r>
      <w:r w:rsidRPr="00220BFD">
        <w:rPr>
          <w:rFonts w:ascii="Times New Roman" w:hAnsi="Times New Roman" w:cs="Times New Roman"/>
          <w:sz w:val="28"/>
          <w:szCs w:val="28"/>
        </w:rPr>
        <w:br/>
      </w:r>
      <w:r w:rsidRPr="00220BFD">
        <w:rPr>
          <w:rFonts w:ascii="Times New Roman" w:hAnsi="Times New Roman" w:cs="Times New Roman"/>
          <w:sz w:val="28"/>
          <w:szCs w:val="28"/>
          <w:shd w:val="clear" w:color="auto" w:fill="FFFFFF"/>
        </w:rPr>
        <w:t>2. Папилломатоз;</w:t>
      </w:r>
      <w:r w:rsidRPr="00220BFD">
        <w:rPr>
          <w:rFonts w:ascii="Times New Roman" w:hAnsi="Times New Roman" w:cs="Times New Roman"/>
          <w:sz w:val="28"/>
          <w:szCs w:val="28"/>
        </w:rPr>
        <w:br/>
      </w:r>
      <w:r w:rsidRPr="00220BFD">
        <w:rPr>
          <w:rFonts w:ascii="Times New Roman" w:hAnsi="Times New Roman" w:cs="Times New Roman"/>
          <w:sz w:val="28"/>
          <w:szCs w:val="28"/>
          <w:shd w:val="clear" w:color="auto" w:fill="FFFFFF"/>
        </w:rPr>
        <w:t>3. Эрозивно-язвенная и гиперкератотическая формы красной волчанки и красного плоского лишая;</w:t>
      </w:r>
      <w:r w:rsidRPr="00220BFD">
        <w:rPr>
          <w:rFonts w:ascii="Times New Roman" w:hAnsi="Times New Roman" w:cs="Times New Roman"/>
          <w:sz w:val="28"/>
          <w:szCs w:val="28"/>
        </w:rPr>
        <w:br/>
      </w:r>
      <w:r w:rsidRPr="00220BFD">
        <w:rPr>
          <w:rFonts w:ascii="Times New Roman" w:hAnsi="Times New Roman" w:cs="Times New Roman"/>
          <w:sz w:val="28"/>
          <w:szCs w:val="28"/>
          <w:shd w:val="clear" w:color="auto" w:fill="FFFFFF"/>
        </w:rPr>
        <w:t>4. Постлучевой стоматит.</w:t>
      </w:r>
      <w:r w:rsidRPr="00220BFD">
        <w:rPr>
          <w:rFonts w:ascii="Times New Roman" w:hAnsi="Times New Roman" w:cs="Times New Roman"/>
          <w:sz w:val="28"/>
          <w:szCs w:val="28"/>
        </w:rPr>
        <w:br/>
      </w:r>
      <w:r w:rsidRPr="00220BFD">
        <w:rPr>
          <w:rFonts w:ascii="Times New Roman" w:hAnsi="Times New Roman" w:cs="Times New Roman"/>
          <w:b/>
          <w:bCs/>
          <w:sz w:val="28"/>
          <w:szCs w:val="28"/>
          <w:u w:val="single"/>
          <w:shd w:val="clear" w:color="auto" w:fill="FFFFFF"/>
        </w:rPr>
        <w:t>Классификация предраковых заболеваний красной каймы губ</w:t>
      </w:r>
      <w:r w:rsidRPr="00220BFD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r w:rsidRPr="00220BFD">
        <w:rPr>
          <w:rFonts w:ascii="Times New Roman" w:hAnsi="Times New Roman" w:cs="Times New Roman"/>
          <w:b/>
          <w:bCs/>
          <w:sz w:val="28"/>
          <w:szCs w:val="28"/>
          <w:u w:val="single"/>
          <w:shd w:val="clear" w:color="auto" w:fill="FFFFFF"/>
        </w:rPr>
        <w:t>с высокой частотой озлокачествления (облигатные):</w:t>
      </w:r>
      <w:r w:rsidRPr="00220BFD">
        <w:rPr>
          <w:rFonts w:ascii="Times New Roman" w:hAnsi="Times New Roman" w:cs="Times New Roman"/>
          <w:sz w:val="28"/>
          <w:szCs w:val="28"/>
        </w:rPr>
        <w:br/>
      </w:r>
      <w:r w:rsidRPr="00220BFD">
        <w:rPr>
          <w:rFonts w:ascii="Times New Roman" w:hAnsi="Times New Roman" w:cs="Times New Roman"/>
          <w:sz w:val="28"/>
          <w:szCs w:val="28"/>
          <w:shd w:val="clear" w:color="auto" w:fill="FFFFFF"/>
        </w:rPr>
        <w:t>1. Бородавчатый предрак;</w:t>
      </w:r>
      <w:r w:rsidRPr="00220BFD">
        <w:rPr>
          <w:rFonts w:ascii="Times New Roman" w:hAnsi="Times New Roman" w:cs="Times New Roman"/>
          <w:sz w:val="28"/>
          <w:szCs w:val="28"/>
        </w:rPr>
        <w:br/>
      </w:r>
      <w:r w:rsidRPr="00220BFD">
        <w:rPr>
          <w:rFonts w:ascii="Times New Roman" w:hAnsi="Times New Roman" w:cs="Times New Roman"/>
          <w:sz w:val="28"/>
          <w:szCs w:val="28"/>
          <w:shd w:val="clear" w:color="auto" w:fill="FFFFFF"/>
        </w:rPr>
        <w:t>2. Ограниченный предраковый гиперкератоз;</w:t>
      </w:r>
      <w:r w:rsidRPr="00220BFD">
        <w:rPr>
          <w:rFonts w:ascii="Times New Roman" w:hAnsi="Times New Roman" w:cs="Times New Roman"/>
          <w:sz w:val="28"/>
          <w:szCs w:val="28"/>
        </w:rPr>
        <w:br/>
      </w:r>
      <w:r w:rsidRPr="00220BFD">
        <w:rPr>
          <w:rFonts w:ascii="Times New Roman" w:hAnsi="Times New Roman" w:cs="Times New Roman"/>
          <w:sz w:val="28"/>
          <w:szCs w:val="28"/>
          <w:shd w:val="clear" w:color="auto" w:fill="FFFFFF"/>
        </w:rPr>
        <w:t>3. Абразивный хейлит Манганотти.</w:t>
      </w:r>
      <w:r w:rsidRPr="00220BFD">
        <w:rPr>
          <w:rFonts w:ascii="Times New Roman" w:hAnsi="Times New Roman" w:cs="Times New Roman"/>
          <w:sz w:val="28"/>
          <w:szCs w:val="28"/>
        </w:rPr>
        <w:br/>
      </w:r>
      <w:r w:rsidRPr="00220BFD">
        <w:rPr>
          <w:rFonts w:ascii="Times New Roman" w:hAnsi="Times New Roman" w:cs="Times New Roman"/>
          <w:b/>
          <w:bCs/>
          <w:sz w:val="28"/>
          <w:szCs w:val="28"/>
          <w:u w:val="single"/>
          <w:shd w:val="clear" w:color="auto" w:fill="FFFFFF"/>
        </w:rPr>
        <w:t>С малой частотой озлокачествления (факультативные):</w:t>
      </w:r>
      <w:r w:rsidRPr="00220BFD">
        <w:rPr>
          <w:rFonts w:ascii="Times New Roman" w:hAnsi="Times New Roman" w:cs="Times New Roman"/>
          <w:sz w:val="28"/>
          <w:szCs w:val="28"/>
        </w:rPr>
        <w:br/>
      </w:r>
      <w:r w:rsidRPr="00220BFD">
        <w:rPr>
          <w:rFonts w:ascii="Times New Roman" w:hAnsi="Times New Roman" w:cs="Times New Roman"/>
          <w:sz w:val="28"/>
          <w:szCs w:val="28"/>
          <w:shd w:val="clear" w:color="auto" w:fill="FFFFFF"/>
        </w:rPr>
        <w:t>1. Лейкоплакия веррукозная;</w:t>
      </w:r>
      <w:r w:rsidRPr="00220BFD">
        <w:rPr>
          <w:rFonts w:ascii="Times New Roman" w:hAnsi="Times New Roman" w:cs="Times New Roman"/>
          <w:sz w:val="28"/>
          <w:szCs w:val="28"/>
        </w:rPr>
        <w:br/>
      </w:r>
      <w:r w:rsidRPr="00220BFD">
        <w:rPr>
          <w:rFonts w:ascii="Times New Roman" w:hAnsi="Times New Roman" w:cs="Times New Roman"/>
          <w:sz w:val="28"/>
          <w:szCs w:val="28"/>
          <w:shd w:val="clear" w:color="auto" w:fill="FFFFFF"/>
        </w:rPr>
        <w:t>2. Кератоакантома;</w:t>
      </w:r>
      <w:r w:rsidRPr="00220BFD">
        <w:rPr>
          <w:rFonts w:ascii="Times New Roman" w:hAnsi="Times New Roman" w:cs="Times New Roman"/>
          <w:sz w:val="28"/>
          <w:szCs w:val="28"/>
        </w:rPr>
        <w:br/>
      </w:r>
      <w:r w:rsidRPr="00220BFD">
        <w:rPr>
          <w:rFonts w:ascii="Times New Roman" w:hAnsi="Times New Roman" w:cs="Times New Roman"/>
          <w:sz w:val="28"/>
          <w:szCs w:val="28"/>
          <w:shd w:val="clear" w:color="auto" w:fill="FFFFFF"/>
        </w:rPr>
        <w:t>3. Кожный рог;</w:t>
      </w:r>
      <w:r w:rsidRPr="00220BFD">
        <w:rPr>
          <w:rFonts w:ascii="Times New Roman" w:hAnsi="Times New Roman" w:cs="Times New Roman"/>
          <w:sz w:val="28"/>
          <w:szCs w:val="28"/>
        </w:rPr>
        <w:br/>
      </w:r>
      <w:r w:rsidRPr="00220BFD">
        <w:rPr>
          <w:rFonts w:ascii="Times New Roman" w:hAnsi="Times New Roman" w:cs="Times New Roman"/>
          <w:sz w:val="28"/>
          <w:szCs w:val="28"/>
          <w:shd w:val="clear" w:color="auto" w:fill="FFFFFF"/>
        </w:rPr>
        <w:t>4. Папиллома с ороговением;</w:t>
      </w:r>
      <w:r w:rsidRPr="00220BFD">
        <w:rPr>
          <w:rFonts w:ascii="Times New Roman" w:hAnsi="Times New Roman" w:cs="Times New Roman"/>
          <w:sz w:val="28"/>
          <w:szCs w:val="28"/>
        </w:rPr>
        <w:br/>
      </w:r>
      <w:r w:rsidRPr="00220BFD">
        <w:rPr>
          <w:rFonts w:ascii="Times New Roman" w:hAnsi="Times New Roman" w:cs="Times New Roman"/>
          <w:sz w:val="28"/>
          <w:szCs w:val="28"/>
          <w:shd w:val="clear" w:color="auto" w:fill="FFFFFF"/>
        </w:rPr>
        <w:t>5. Эрозивно-язвенная и гиперкератотическая формы красной волчанки и красного плоского лишая;</w:t>
      </w:r>
      <w:r w:rsidRPr="00220BFD">
        <w:rPr>
          <w:rFonts w:ascii="Times New Roman" w:hAnsi="Times New Roman" w:cs="Times New Roman"/>
          <w:sz w:val="28"/>
          <w:szCs w:val="28"/>
        </w:rPr>
        <w:br/>
      </w:r>
      <w:r w:rsidRPr="00220BFD">
        <w:rPr>
          <w:rFonts w:ascii="Times New Roman" w:hAnsi="Times New Roman" w:cs="Times New Roman"/>
          <w:sz w:val="28"/>
          <w:szCs w:val="28"/>
          <w:shd w:val="clear" w:color="auto" w:fill="FFFFFF"/>
        </w:rPr>
        <w:t>6. Постлучевой хейлит.</w:t>
      </w:r>
      <w:r w:rsidRPr="00220BFD">
        <w:rPr>
          <w:rFonts w:ascii="Times New Roman" w:hAnsi="Times New Roman" w:cs="Times New Roman"/>
          <w:sz w:val="28"/>
          <w:szCs w:val="28"/>
        </w:rPr>
        <w:br/>
      </w:r>
    </w:p>
    <w:p w14:paraId="3A657D6F" w14:textId="77777777" w:rsidR="00B836A5" w:rsidRDefault="00B836A5" w:rsidP="00220BFD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836A5">
        <w:rPr>
          <w:rFonts w:ascii="Times New Roman" w:hAnsi="Times New Roman" w:cs="Times New Roman"/>
          <w:b/>
          <w:bCs/>
          <w:i/>
          <w:iCs/>
          <w:sz w:val="28"/>
          <w:szCs w:val="28"/>
          <w:shd w:val="clear" w:color="auto" w:fill="FFFFFF"/>
        </w:rPr>
        <w:t>Облигатные предраковые заболевания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 это виды заболеваний, которые озлокачествляются с наибольшей частотой.</w:t>
      </w:r>
    </w:p>
    <w:p w14:paraId="6289CBD6" w14:textId="77777777" w:rsidR="00B836A5" w:rsidRDefault="00B836A5" w:rsidP="00220BFD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836A5">
        <w:rPr>
          <w:rFonts w:ascii="Times New Roman" w:hAnsi="Times New Roman" w:cs="Times New Roman"/>
          <w:b/>
          <w:bCs/>
          <w:i/>
          <w:iCs/>
          <w:sz w:val="28"/>
          <w:szCs w:val="28"/>
          <w:shd w:val="clear" w:color="auto" w:fill="FFFFFF"/>
        </w:rPr>
        <w:lastRenderedPageBreak/>
        <w:t>Факультотивные предраковые заболевания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 это заболевания с длительным течением и меньшей вероятностью озлокачествления.</w:t>
      </w:r>
    </w:p>
    <w:p w14:paraId="5B5DB9A4" w14:textId="77777777" w:rsidR="00220BFD" w:rsidRPr="00220BFD" w:rsidRDefault="00220BFD" w:rsidP="00220BFD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20BF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данные классификации не включены такие редко озлокачествляющиеся заболевания, </w:t>
      </w:r>
      <w:r w:rsidRPr="00B836A5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как плоская лейкоплакия, хронические трещины губ, а также актинический и метеорологический хейлиты, рубцы,</w:t>
      </w:r>
      <w:r w:rsidRPr="00220BF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B836A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они </w:t>
      </w:r>
      <w:r w:rsidRPr="00220BFD">
        <w:rPr>
          <w:rFonts w:ascii="Times New Roman" w:hAnsi="Times New Roman" w:cs="Times New Roman"/>
          <w:sz w:val="28"/>
          <w:szCs w:val="28"/>
          <w:shd w:val="clear" w:color="auto" w:fill="FFFFFF"/>
        </w:rPr>
        <w:t>рассматриваются как фоновые процессы.</w:t>
      </w:r>
    </w:p>
    <w:p w14:paraId="35A7ADCF" w14:textId="77777777" w:rsidR="00220BFD" w:rsidRPr="00B836A5" w:rsidRDefault="00220BFD" w:rsidP="00220BFD">
      <w:pPr>
        <w:pStyle w:val="2"/>
        <w:rPr>
          <w:rFonts w:ascii="Times New Roman" w:hAnsi="Times New Roman" w:cs="Times New Roman"/>
          <w:i/>
          <w:iCs/>
          <w:sz w:val="28"/>
          <w:szCs w:val="28"/>
          <w:u w:val="single"/>
        </w:rPr>
      </w:pPr>
      <w:r w:rsidRPr="00B836A5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u w:val="single"/>
        </w:rPr>
        <w:t>Первичная профилактика рака и предрака слизистой полости рта</w:t>
      </w:r>
      <w:r w:rsidR="00B836A5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u w:val="single"/>
        </w:rPr>
        <w:t>:</w:t>
      </w:r>
    </w:p>
    <w:p w14:paraId="7CC3A0E2" w14:textId="77777777" w:rsidR="00220BFD" w:rsidRPr="00220BFD" w:rsidRDefault="00220BFD" w:rsidP="00220BFD">
      <w:pPr>
        <w:rPr>
          <w:rFonts w:ascii="Times New Roman" w:hAnsi="Times New Roman" w:cs="Times New Roman"/>
          <w:sz w:val="28"/>
          <w:szCs w:val="28"/>
        </w:rPr>
      </w:pPr>
    </w:p>
    <w:p w14:paraId="77FFF143" w14:textId="77777777" w:rsidR="00220BFD" w:rsidRPr="00220BFD" w:rsidRDefault="00220BFD" w:rsidP="00992D00">
      <w:pPr>
        <w:pStyle w:val="a7"/>
        <w:shd w:val="clear" w:color="auto" w:fill="FAFAFA"/>
        <w:spacing w:before="0" w:beforeAutospacing="0"/>
        <w:rPr>
          <w:sz w:val="28"/>
          <w:szCs w:val="28"/>
        </w:rPr>
      </w:pPr>
      <w:r w:rsidRPr="00220BFD">
        <w:rPr>
          <w:sz w:val="28"/>
          <w:szCs w:val="28"/>
        </w:rPr>
        <w:t xml:space="preserve">Современные знания об этиологии и патогенезе предраковых заболеваний слизистой оболочки полости рта и красной каймы губ позволяют осуществлять конкретную профилактику некоторых из этих процессов, а тем самым и профилактику рака. </w:t>
      </w:r>
      <w:r w:rsidR="00B836A5">
        <w:rPr>
          <w:sz w:val="28"/>
          <w:szCs w:val="28"/>
        </w:rPr>
        <w:t xml:space="preserve">В </w:t>
      </w:r>
      <w:r w:rsidRPr="00220BFD">
        <w:rPr>
          <w:sz w:val="28"/>
          <w:szCs w:val="28"/>
        </w:rPr>
        <w:t>этиологии и патогенезе этих заболеваний большая роль принадлежит возрастным изменениям организма, гиповитаминоз</w:t>
      </w:r>
      <w:r w:rsidR="00B836A5">
        <w:rPr>
          <w:sz w:val="28"/>
          <w:szCs w:val="28"/>
        </w:rPr>
        <w:t>у</w:t>
      </w:r>
      <w:r w:rsidRPr="00220BFD">
        <w:rPr>
          <w:sz w:val="28"/>
          <w:szCs w:val="28"/>
        </w:rPr>
        <w:t>,</w:t>
      </w:r>
      <w:r w:rsidR="00B836A5">
        <w:rPr>
          <w:sz w:val="28"/>
          <w:szCs w:val="28"/>
        </w:rPr>
        <w:t xml:space="preserve"> а к </w:t>
      </w:r>
      <w:r w:rsidRPr="00220BFD">
        <w:rPr>
          <w:sz w:val="28"/>
          <w:szCs w:val="28"/>
        </w:rPr>
        <w:t>желудочно-кишечной патологии, которая снижает резистентность слизистой оболочки полости рта к травматическим воздействиям и др. Одной из основных причин развития предраковых заболеваний является хроническая механическая, химическая, термическая, гальваническая травма слизистой оболочки полости рта.</w:t>
      </w:r>
    </w:p>
    <w:p w14:paraId="30D79E96" w14:textId="77777777" w:rsidR="00B836A5" w:rsidRDefault="00220BFD" w:rsidP="00992D00">
      <w:pPr>
        <w:pStyle w:val="a7"/>
        <w:shd w:val="clear" w:color="auto" w:fill="FAFAFA"/>
        <w:spacing w:before="0" w:beforeAutospacing="0"/>
        <w:rPr>
          <w:sz w:val="28"/>
          <w:szCs w:val="28"/>
        </w:rPr>
      </w:pPr>
      <w:r w:rsidRPr="00220BFD">
        <w:rPr>
          <w:sz w:val="28"/>
          <w:szCs w:val="28"/>
        </w:rPr>
        <w:t>В связи со сказанным</w:t>
      </w:r>
      <w:r w:rsidR="00B836A5">
        <w:rPr>
          <w:sz w:val="28"/>
          <w:szCs w:val="28"/>
        </w:rPr>
        <w:t>,</w:t>
      </w:r>
      <w:r w:rsidRPr="00220BFD">
        <w:rPr>
          <w:sz w:val="28"/>
          <w:szCs w:val="28"/>
        </w:rPr>
        <w:t xml:space="preserve"> в профилактике предраковых заболеваний слизистой оболочки полости рта и красной каймы губ первостепенное значение имеют мероприятия, направленные на борьбу со старением организма, предупреждение и лечение желудочно-кишечной патологии, предупреждение и устранение всех видов травм губ и слизистой оболочки полости рта. </w:t>
      </w:r>
    </w:p>
    <w:p w14:paraId="5AEBB516" w14:textId="77777777" w:rsidR="00220BFD" w:rsidRPr="00220BFD" w:rsidRDefault="00220BFD" w:rsidP="00992D00">
      <w:pPr>
        <w:pStyle w:val="a7"/>
        <w:shd w:val="clear" w:color="auto" w:fill="FAFAFA"/>
        <w:spacing w:before="0" w:beforeAutospacing="0"/>
        <w:rPr>
          <w:sz w:val="28"/>
          <w:szCs w:val="28"/>
        </w:rPr>
      </w:pPr>
      <w:r w:rsidRPr="00220BFD">
        <w:rPr>
          <w:sz w:val="28"/>
          <w:szCs w:val="28"/>
        </w:rPr>
        <w:t>Большое внимание следует уделять борьбе с курением, радикальному лечению гландулярного хейлита, быстрой ликвидации герпеса и предупреждению его рецидивов, своевременному лечению хронических воспалительных процессов в области губ и полости рта, в том числе эрозивно-язвенных и гиперкератотических форм красного плоского лишая и красной волчанки, систематической санации полости рта, профилактическим осмотрам населения с целью выявления ранних изменений, санации и проведения индивидуальной санитарно-просветительной работы.</w:t>
      </w:r>
    </w:p>
    <w:p w14:paraId="1F8EE99B" w14:textId="77777777" w:rsidR="00992D00" w:rsidRDefault="00220BFD" w:rsidP="00992D00">
      <w:pPr>
        <w:pStyle w:val="a7"/>
        <w:shd w:val="clear" w:color="auto" w:fill="FAFAFA"/>
        <w:spacing w:before="0" w:beforeAutospacing="0"/>
        <w:rPr>
          <w:sz w:val="28"/>
          <w:szCs w:val="28"/>
        </w:rPr>
      </w:pPr>
      <w:r w:rsidRPr="00220BFD">
        <w:rPr>
          <w:sz w:val="28"/>
          <w:szCs w:val="28"/>
        </w:rPr>
        <w:t xml:space="preserve">В профилактике </w:t>
      </w:r>
      <w:r w:rsidRPr="00B836A5">
        <w:rPr>
          <w:sz w:val="28"/>
          <w:szCs w:val="28"/>
          <w:u w:val="single"/>
        </w:rPr>
        <w:t>хейлита Манганотти</w:t>
      </w:r>
      <w:r w:rsidRPr="00220BFD">
        <w:rPr>
          <w:sz w:val="28"/>
          <w:szCs w:val="28"/>
        </w:rPr>
        <w:t xml:space="preserve"> ведущее значение имеют предохранение красной каймы губ от неблагоприятного воздействия метеорологических факторов и ликвидация дефектов зубных рядов</w:t>
      </w:r>
      <w:r w:rsidR="00B836A5">
        <w:rPr>
          <w:sz w:val="28"/>
          <w:szCs w:val="28"/>
        </w:rPr>
        <w:t>.</w:t>
      </w:r>
      <w:r w:rsidRPr="00220BFD">
        <w:rPr>
          <w:sz w:val="28"/>
          <w:szCs w:val="28"/>
        </w:rPr>
        <w:t xml:space="preserve"> </w:t>
      </w:r>
    </w:p>
    <w:p w14:paraId="48A4A644" w14:textId="77777777" w:rsidR="00992D00" w:rsidRDefault="00B836A5" w:rsidP="00992D00">
      <w:pPr>
        <w:pStyle w:val="a7"/>
        <w:shd w:val="clear" w:color="auto" w:fill="FAFAFA"/>
        <w:spacing w:before="0" w:beforeAutospacing="0"/>
        <w:rPr>
          <w:sz w:val="28"/>
          <w:szCs w:val="28"/>
        </w:rPr>
      </w:pPr>
      <w:r>
        <w:rPr>
          <w:sz w:val="28"/>
          <w:szCs w:val="28"/>
        </w:rPr>
        <w:t>В</w:t>
      </w:r>
      <w:r w:rsidR="00220BFD" w:rsidRPr="00220BFD">
        <w:rPr>
          <w:sz w:val="28"/>
          <w:szCs w:val="28"/>
        </w:rPr>
        <w:t xml:space="preserve"> профилактике </w:t>
      </w:r>
      <w:r w:rsidR="00220BFD" w:rsidRPr="00992D00">
        <w:rPr>
          <w:sz w:val="28"/>
          <w:szCs w:val="28"/>
          <w:u w:val="single"/>
        </w:rPr>
        <w:t>бородавчатого предрака</w:t>
      </w:r>
      <w:r w:rsidR="00220BFD" w:rsidRPr="00220BFD">
        <w:rPr>
          <w:sz w:val="28"/>
          <w:szCs w:val="28"/>
        </w:rPr>
        <w:t xml:space="preserve"> и </w:t>
      </w:r>
      <w:r w:rsidR="00220BFD" w:rsidRPr="00992D00">
        <w:rPr>
          <w:sz w:val="28"/>
          <w:szCs w:val="28"/>
          <w:u w:val="single"/>
        </w:rPr>
        <w:t>ограниченного гиперкератоза губ</w:t>
      </w:r>
      <w:r w:rsidR="00220BFD" w:rsidRPr="00220BFD">
        <w:rPr>
          <w:sz w:val="28"/>
          <w:szCs w:val="28"/>
        </w:rPr>
        <w:t xml:space="preserve"> - предупреждение острой и хронической травмы</w:t>
      </w:r>
      <w:r w:rsidR="00992D00">
        <w:rPr>
          <w:sz w:val="28"/>
          <w:szCs w:val="28"/>
        </w:rPr>
        <w:t>.</w:t>
      </w:r>
    </w:p>
    <w:p w14:paraId="6F8B5910" w14:textId="77777777" w:rsidR="00220BFD" w:rsidRPr="00220BFD" w:rsidRDefault="00992D00" w:rsidP="00992D00">
      <w:pPr>
        <w:pStyle w:val="a7"/>
        <w:shd w:val="clear" w:color="auto" w:fill="FAFAFA"/>
        <w:spacing w:before="0" w:beforeAutospacing="0"/>
        <w:rPr>
          <w:sz w:val="28"/>
          <w:szCs w:val="28"/>
        </w:rPr>
      </w:pPr>
      <w:r>
        <w:rPr>
          <w:sz w:val="28"/>
          <w:szCs w:val="28"/>
        </w:rPr>
        <w:lastRenderedPageBreak/>
        <w:t>В</w:t>
      </w:r>
      <w:r w:rsidR="00220BFD" w:rsidRPr="00220BFD">
        <w:rPr>
          <w:sz w:val="28"/>
          <w:szCs w:val="28"/>
        </w:rPr>
        <w:t xml:space="preserve"> профилак</w:t>
      </w:r>
      <w:r>
        <w:rPr>
          <w:sz w:val="28"/>
          <w:szCs w:val="28"/>
        </w:rPr>
        <w:t>т</w:t>
      </w:r>
      <w:r w:rsidR="00220BFD" w:rsidRPr="00220BFD">
        <w:rPr>
          <w:sz w:val="28"/>
          <w:szCs w:val="28"/>
        </w:rPr>
        <w:t xml:space="preserve">ике </w:t>
      </w:r>
      <w:r w:rsidR="00220BFD" w:rsidRPr="00992D00">
        <w:rPr>
          <w:sz w:val="28"/>
          <w:szCs w:val="28"/>
          <w:u w:val="single"/>
        </w:rPr>
        <w:t>лейкоплакии</w:t>
      </w:r>
      <w:r w:rsidR="00220BFD" w:rsidRPr="00220BFD">
        <w:rPr>
          <w:sz w:val="28"/>
          <w:szCs w:val="28"/>
        </w:rPr>
        <w:t xml:space="preserve"> — борьба с курением и систематическая санация населения, включающая рациональное протезирование.</w:t>
      </w:r>
    </w:p>
    <w:p w14:paraId="4FE4BD43" w14:textId="77777777" w:rsidR="00220BFD" w:rsidRPr="00220BFD" w:rsidRDefault="00220BFD" w:rsidP="00992D00">
      <w:pPr>
        <w:pStyle w:val="a7"/>
        <w:shd w:val="clear" w:color="auto" w:fill="FAFAFA"/>
        <w:spacing w:before="0" w:beforeAutospacing="0"/>
        <w:rPr>
          <w:sz w:val="28"/>
          <w:szCs w:val="28"/>
        </w:rPr>
      </w:pPr>
      <w:r w:rsidRPr="00220BFD">
        <w:rPr>
          <w:sz w:val="28"/>
          <w:szCs w:val="28"/>
        </w:rPr>
        <w:t xml:space="preserve">Важнейшим элементом профилактики рака является диспансерное наблюдение за больными с предраковыми заболеваниями. Это в первую очередь относится к больным с облигатными формами предрака губ и слизистой оболочки полости рта. </w:t>
      </w:r>
      <w:r w:rsidR="00992D00">
        <w:rPr>
          <w:sz w:val="28"/>
          <w:szCs w:val="28"/>
        </w:rPr>
        <w:t>С</w:t>
      </w:r>
      <w:r w:rsidRPr="00220BFD">
        <w:rPr>
          <w:sz w:val="28"/>
          <w:szCs w:val="28"/>
        </w:rPr>
        <w:t xml:space="preserve">истема диспансеризации таких больных включает три этапа: </w:t>
      </w:r>
      <w:r w:rsidRPr="00992D00">
        <w:rPr>
          <w:b/>
          <w:bCs/>
          <w:i/>
          <w:iCs/>
          <w:sz w:val="28"/>
          <w:szCs w:val="28"/>
        </w:rPr>
        <w:t>первый</w:t>
      </w:r>
      <w:r w:rsidRPr="00220BFD">
        <w:rPr>
          <w:sz w:val="28"/>
          <w:szCs w:val="28"/>
        </w:rPr>
        <w:t xml:space="preserve"> — диспансерный отбор, </w:t>
      </w:r>
      <w:r w:rsidRPr="00992D00">
        <w:rPr>
          <w:b/>
          <w:bCs/>
          <w:i/>
          <w:iCs/>
          <w:sz w:val="28"/>
          <w:szCs w:val="28"/>
        </w:rPr>
        <w:t>второй</w:t>
      </w:r>
      <w:r w:rsidRPr="00220BFD">
        <w:rPr>
          <w:sz w:val="28"/>
          <w:szCs w:val="28"/>
        </w:rPr>
        <w:t xml:space="preserve"> — диспансерный учет, </w:t>
      </w:r>
      <w:r w:rsidRPr="00992D00">
        <w:rPr>
          <w:b/>
          <w:bCs/>
          <w:i/>
          <w:iCs/>
          <w:sz w:val="28"/>
          <w:szCs w:val="28"/>
        </w:rPr>
        <w:t>третий</w:t>
      </w:r>
      <w:r w:rsidRPr="00220BFD">
        <w:rPr>
          <w:sz w:val="28"/>
          <w:szCs w:val="28"/>
        </w:rPr>
        <w:t xml:space="preserve"> — диспансерное лечение и наблюдение.</w:t>
      </w:r>
    </w:p>
    <w:p w14:paraId="153D9653" w14:textId="77777777" w:rsidR="00992D00" w:rsidRDefault="00220BFD" w:rsidP="00992D00">
      <w:pPr>
        <w:pStyle w:val="a7"/>
        <w:shd w:val="clear" w:color="auto" w:fill="FAFAFA"/>
        <w:spacing w:before="0" w:beforeAutospacing="0"/>
        <w:rPr>
          <w:sz w:val="28"/>
          <w:szCs w:val="28"/>
        </w:rPr>
      </w:pPr>
      <w:r w:rsidRPr="00992D00">
        <w:rPr>
          <w:b/>
          <w:bCs/>
          <w:sz w:val="28"/>
          <w:szCs w:val="28"/>
          <w:u w:val="single"/>
        </w:rPr>
        <w:t>Диспансерный отбор</w:t>
      </w:r>
      <w:r w:rsidRPr="00220BFD">
        <w:rPr>
          <w:sz w:val="28"/>
          <w:szCs w:val="28"/>
        </w:rPr>
        <w:t xml:space="preserve"> производят во время профилактических (особенно онкологических) осмотров различных видов при этом наряду с обычными методами исследования</w:t>
      </w:r>
      <w:r w:rsidR="00992D00">
        <w:rPr>
          <w:sz w:val="28"/>
          <w:szCs w:val="28"/>
        </w:rPr>
        <w:t>,</w:t>
      </w:r>
      <w:r w:rsidRPr="00220BFD">
        <w:rPr>
          <w:sz w:val="28"/>
          <w:szCs w:val="28"/>
        </w:rPr>
        <w:t xml:space="preserve"> рекомендуется применять стоматоскопию с предварительной окраской слизистой оболочки полости рта. </w:t>
      </w:r>
    </w:p>
    <w:p w14:paraId="76BC9F9A" w14:textId="77777777" w:rsidR="00220BFD" w:rsidRPr="00220BFD" w:rsidRDefault="00220BFD" w:rsidP="00992D00">
      <w:pPr>
        <w:pStyle w:val="a7"/>
        <w:shd w:val="clear" w:color="auto" w:fill="FAFAFA"/>
        <w:spacing w:before="0" w:beforeAutospacing="0"/>
        <w:rPr>
          <w:sz w:val="28"/>
          <w:szCs w:val="28"/>
        </w:rPr>
      </w:pPr>
      <w:r w:rsidRPr="00992D00">
        <w:rPr>
          <w:b/>
          <w:bCs/>
          <w:sz w:val="28"/>
          <w:szCs w:val="28"/>
          <w:u w:val="single"/>
        </w:rPr>
        <w:t>Ведение диспансерного учета</w:t>
      </w:r>
      <w:r w:rsidRPr="00220BFD">
        <w:rPr>
          <w:sz w:val="28"/>
          <w:szCs w:val="28"/>
        </w:rPr>
        <w:t xml:space="preserve"> позволяет определить возможные недочеты первого этапа диспансеризации, например установить число больных, ошибочно отобранных для диспансеризации или не явившихся в поликлинику для уточнения диагноза и лечения, а также выявить организационные недостатки диспансерного отбора. Составление на втором этапе диспансеризации индивидуального плана оздоровительных мероприятий позволяет заранее наметить лечебные мероприятия, которые необходимо осуществить на третьем этапе.</w:t>
      </w:r>
    </w:p>
    <w:p w14:paraId="3D43D2A7" w14:textId="77777777" w:rsidR="00220BFD" w:rsidRPr="00220BFD" w:rsidRDefault="00220BFD" w:rsidP="00992D00">
      <w:pPr>
        <w:pStyle w:val="a7"/>
        <w:shd w:val="clear" w:color="auto" w:fill="FAFAFA"/>
        <w:spacing w:before="0" w:beforeAutospacing="0"/>
        <w:rPr>
          <w:sz w:val="28"/>
          <w:szCs w:val="28"/>
        </w:rPr>
      </w:pPr>
      <w:r w:rsidRPr="00992D00">
        <w:rPr>
          <w:b/>
          <w:bCs/>
          <w:sz w:val="28"/>
          <w:szCs w:val="28"/>
          <w:u w:val="single"/>
        </w:rPr>
        <w:t>Диспансерное лечение и наблюдение</w:t>
      </w:r>
      <w:r w:rsidRPr="00220BFD">
        <w:rPr>
          <w:sz w:val="28"/>
          <w:szCs w:val="28"/>
        </w:rPr>
        <w:t xml:space="preserve"> включает проведение лечебнопрофилактических мероприятий и динамическое активное наблюдение за течением заболевания. На последнем этапе диспансеризации выделяли две группы диспансерного наблюдения: группу активного лечения и группу наблюдения. В последующем выздоровевших переводили из группы лечения в группу наблюдения, где они в течение первого года проходили контрольные осмотры раз в 3 мес, а затем в год. Такая система диспансеризации позволила осуществить эффективную терапию в группе активного лечения и своевременную диагностику рецидивов в группе наблюдения.</w:t>
      </w:r>
    </w:p>
    <w:p w14:paraId="6DF5264F" w14:textId="77777777" w:rsidR="00220BFD" w:rsidRPr="00220BFD" w:rsidRDefault="00220BFD" w:rsidP="00992D00">
      <w:pPr>
        <w:pStyle w:val="a7"/>
        <w:shd w:val="clear" w:color="auto" w:fill="FAFAFA"/>
        <w:spacing w:before="0" w:beforeAutospacing="0"/>
        <w:rPr>
          <w:sz w:val="28"/>
          <w:szCs w:val="28"/>
        </w:rPr>
      </w:pPr>
      <w:r w:rsidRPr="00220BFD">
        <w:rPr>
          <w:sz w:val="28"/>
          <w:szCs w:val="28"/>
        </w:rPr>
        <w:t>При этом следует подчеркнуть, что при подозрении на трансформацию процесса в рак необходимо срочно произвести иссечение очага поражения в пределах здоровых тканей и гистологическое исследование. Лишь после этого следует решать вопрос о дальнейшем лечении. Проведенная по указанной схеме диспансеризация больных предраком слизистой оболочки полости рта и красной каймы губ оказалась весьма эффективной.</w:t>
      </w:r>
    </w:p>
    <w:p w14:paraId="70CB9623" w14:textId="77777777" w:rsidR="00220BFD" w:rsidRPr="00220BFD" w:rsidRDefault="00220BFD" w:rsidP="00992D00">
      <w:pPr>
        <w:rPr>
          <w:rFonts w:ascii="Times New Roman" w:hAnsi="Times New Roman" w:cs="Times New Roman"/>
          <w:sz w:val="28"/>
          <w:szCs w:val="28"/>
        </w:rPr>
      </w:pPr>
    </w:p>
    <w:p w14:paraId="4D4BBD37" w14:textId="77777777" w:rsidR="00220BFD" w:rsidRPr="00992D00" w:rsidRDefault="00220BFD" w:rsidP="00992D00">
      <w:pPr>
        <w:pStyle w:val="2"/>
        <w:jc w:val="center"/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u w:val="single"/>
        </w:rPr>
      </w:pPr>
      <w:r w:rsidRPr="00992D00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u w:val="single"/>
        </w:rPr>
        <w:lastRenderedPageBreak/>
        <w:t>Принцип онкологической настороженности на амбулаторном стоматологическом приеме</w:t>
      </w:r>
      <w:r w:rsidR="00992D00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u w:val="single"/>
        </w:rPr>
        <w:t>:</w:t>
      </w:r>
    </w:p>
    <w:p w14:paraId="6DA6D499" w14:textId="77777777" w:rsidR="00220BFD" w:rsidRPr="00992D00" w:rsidRDefault="00220BFD" w:rsidP="00992D00">
      <w:pPr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  <w:u w:val="single"/>
        </w:rPr>
      </w:pPr>
    </w:p>
    <w:p w14:paraId="3436E7D2" w14:textId="77777777" w:rsidR="00220BFD" w:rsidRPr="00220BFD" w:rsidRDefault="00220BFD" w:rsidP="00992D00">
      <w:pPr>
        <w:pStyle w:val="txt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220BFD">
        <w:rPr>
          <w:sz w:val="28"/>
          <w:szCs w:val="28"/>
        </w:rPr>
        <w:t>Проблемы клинической онкологии постоянно находятся в центре внимания медиков всего мира по причине роста заболеваемости злокачественными опухолями и смертности от них. С каждым годом выявляют все больше и больше случаев злокачественных новообразований, а в списке причин смертности онкологические заболевания занимают 2-3-е место. Это обусловлено в значительной степени несовершенством первичной и вторичной профилактики, а также несвоевременной диагностикой и, как следствие, недостаточной эффективностью лечения. В медицине существует понятие «онкологическая настороженность». Это означает, что врач любой специальности каждого лечебно-профилактического учреждения должен при осмотре пациента обращать особое внимание на симптомы, вызывающие подозрение на наличие онкологической патологии.</w:t>
      </w:r>
    </w:p>
    <w:p w14:paraId="39682F0B" w14:textId="77777777" w:rsidR="00220BFD" w:rsidRPr="00992D00" w:rsidRDefault="00220BFD" w:rsidP="00992D00">
      <w:pPr>
        <w:pStyle w:val="txt"/>
        <w:shd w:val="clear" w:color="auto" w:fill="FFFFFF"/>
        <w:spacing w:before="0" w:beforeAutospacing="0" w:after="150" w:afterAutospacing="0"/>
        <w:rPr>
          <w:b/>
          <w:bCs/>
          <w:sz w:val="28"/>
          <w:szCs w:val="28"/>
          <w:u w:val="single"/>
        </w:rPr>
      </w:pPr>
      <w:r w:rsidRPr="00992D00">
        <w:rPr>
          <w:b/>
          <w:bCs/>
          <w:sz w:val="28"/>
          <w:szCs w:val="28"/>
          <w:u w:val="single"/>
        </w:rPr>
        <w:t>Онкологическая настороженность включает следующее:</w:t>
      </w:r>
    </w:p>
    <w:p w14:paraId="6CE184F9" w14:textId="77777777" w:rsidR="00220BFD" w:rsidRPr="00220BFD" w:rsidRDefault="00220BFD" w:rsidP="00992D00">
      <w:pPr>
        <w:pStyle w:val="txt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220BFD">
        <w:rPr>
          <w:sz w:val="28"/>
          <w:szCs w:val="28"/>
        </w:rPr>
        <w:t>► знание симптомов злокачественных опухолей на ранних стадиях;</w:t>
      </w:r>
    </w:p>
    <w:p w14:paraId="22B72557" w14:textId="77777777" w:rsidR="00220BFD" w:rsidRPr="00220BFD" w:rsidRDefault="00220BFD" w:rsidP="00992D00">
      <w:pPr>
        <w:pStyle w:val="txt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220BFD">
        <w:rPr>
          <w:sz w:val="28"/>
          <w:szCs w:val="28"/>
        </w:rPr>
        <w:t>► знание предраковых заболеваний и их лечение;</w:t>
      </w:r>
    </w:p>
    <w:p w14:paraId="67204F33" w14:textId="77777777" w:rsidR="00220BFD" w:rsidRPr="00220BFD" w:rsidRDefault="00220BFD" w:rsidP="00992D00">
      <w:pPr>
        <w:pStyle w:val="txt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220BFD">
        <w:rPr>
          <w:sz w:val="28"/>
          <w:szCs w:val="28"/>
        </w:rPr>
        <w:t>► организацию онкологической помощи, сети онкологических лечебных учреждений и быстрое направление больного с обнаруженной или подозреваемой опухолью в специализированное учреждение;</w:t>
      </w:r>
    </w:p>
    <w:p w14:paraId="5D8B3423" w14:textId="77777777" w:rsidR="00220BFD" w:rsidRPr="00220BFD" w:rsidRDefault="00220BFD" w:rsidP="00992D00">
      <w:pPr>
        <w:pStyle w:val="txt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220BFD">
        <w:rPr>
          <w:sz w:val="28"/>
          <w:szCs w:val="28"/>
        </w:rPr>
        <w:t>► тщательное обследование каждого больного, обратившегося к врачу любой специальности, с целью выявления возможного онкологического заболевания;</w:t>
      </w:r>
    </w:p>
    <w:p w14:paraId="405C1009" w14:textId="77777777" w:rsidR="00220BFD" w:rsidRPr="00220BFD" w:rsidRDefault="00220BFD" w:rsidP="00992D00">
      <w:pPr>
        <w:pStyle w:val="txt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220BFD">
        <w:rPr>
          <w:sz w:val="28"/>
          <w:szCs w:val="28"/>
        </w:rPr>
        <w:t>► привычку в трудных случаях диагностики думать о возможности атипичного или осложненного течения злокачественной опухоли.</w:t>
      </w:r>
    </w:p>
    <w:p w14:paraId="26E003A3" w14:textId="77777777" w:rsidR="00220BFD" w:rsidRPr="00992D00" w:rsidRDefault="00220BFD" w:rsidP="00992D00">
      <w:pPr>
        <w:pStyle w:val="txt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  <w:r w:rsidRPr="00992D00">
        <w:rPr>
          <w:b/>
          <w:bCs/>
          <w:sz w:val="28"/>
          <w:szCs w:val="28"/>
        </w:rPr>
        <w:t>Основные задачи врача-стоматолога в его работе по профилактике онкологической патологии - своевременные распознавание и лечение предопухо-левых состояний (факультативного, облигатного предрака), на фоне которых возможно развитие рака, а также ранняя диагностика злокачественных новообразований.</w:t>
      </w:r>
    </w:p>
    <w:p w14:paraId="7AF839EF" w14:textId="77777777" w:rsidR="00220BFD" w:rsidRPr="00992D00" w:rsidRDefault="00220BFD" w:rsidP="00992D00">
      <w:pPr>
        <w:rPr>
          <w:b/>
          <w:bCs/>
        </w:rPr>
      </w:pPr>
    </w:p>
    <w:p w14:paraId="1FD38F18" w14:textId="77777777" w:rsidR="00D02C0A" w:rsidRDefault="00D02C0A" w:rsidP="00992D00"/>
    <w:sectPr w:rsidR="00D02C0A" w:rsidSect="001549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FBD01A" w14:textId="77777777" w:rsidR="00B23171" w:rsidRDefault="00B23171">
      <w:pPr>
        <w:spacing w:after="0" w:line="240" w:lineRule="auto"/>
      </w:pPr>
      <w:r>
        <w:separator/>
      </w:r>
    </w:p>
  </w:endnote>
  <w:endnote w:type="continuationSeparator" w:id="0">
    <w:p w14:paraId="1AF3818D" w14:textId="77777777" w:rsidR="00B23171" w:rsidRDefault="00B231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A50FF3" w14:textId="77777777" w:rsidR="00000000" w:rsidRDefault="00992D00" w:rsidP="002710C3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14:paraId="3D619BD8" w14:textId="77777777" w:rsidR="00000000" w:rsidRDefault="00000000" w:rsidP="002710C3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01E93B" w14:textId="77777777" w:rsidR="00000000" w:rsidRDefault="00992D00" w:rsidP="002710C3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17</w:t>
    </w:r>
    <w:r>
      <w:rPr>
        <w:rStyle w:val="a5"/>
      </w:rPr>
      <w:fldChar w:fldCharType="end"/>
    </w:r>
  </w:p>
  <w:p w14:paraId="055D3562" w14:textId="77777777" w:rsidR="00000000" w:rsidRDefault="00000000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E655A8" w14:textId="77777777" w:rsidR="00B23171" w:rsidRDefault="00B23171">
      <w:pPr>
        <w:spacing w:after="0" w:line="240" w:lineRule="auto"/>
      </w:pPr>
      <w:r>
        <w:separator/>
      </w:r>
    </w:p>
  </w:footnote>
  <w:footnote w:type="continuationSeparator" w:id="0">
    <w:p w14:paraId="2C505B96" w14:textId="77777777" w:rsidR="00B23171" w:rsidRDefault="00B2317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BFD"/>
    <w:rsid w:val="00093368"/>
    <w:rsid w:val="00220BFD"/>
    <w:rsid w:val="006B4F04"/>
    <w:rsid w:val="00992D00"/>
    <w:rsid w:val="00A7510A"/>
    <w:rsid w:val="00B23171"/>
    <w:rsid w:val="00B836A5"/>
    <w:rsid w:val="00D02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527DDA"/>
  <w15:chartTrackingRefBased/>
  <w15:docId w15:val="{26CBC825-FF80-EC46-BE20-7EE0477B89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20BFD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220BF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220BF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220B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220BFD"/>
    <w:rPr>
      <w:sz w:val="22"/>
      <w:szCs w:val="22"/>
    </w:rPr>
  </w:style>
  <w:style w:type="character" w:styleId="a5">
    <w:name w:val="page number"/>
    <w:basedOn w:val="a0"/>
    <w:rsid w:val="00220BFD"/>
  </w:style>
  <w:style w:type="character" w:customStyle="1" w:styleId="10">
    <w:name w:val="Заголовок 1 Знак"/>
    <w:basedOn w:val="a0"/>
    <w:link w:val="1"/>
    <w:uiPriority w:val="9"/>
    <w:rsid w:val="00220BFD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220BFD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styleId="a6">
    <w:name w:val="Strong"/>
    <w:basedOn w:val="a0"/>
    <w:uiPriority w:val="22"/>
    <w:qFormat/>
    <w:rsid w:val="00220BFD"/>
    <w:rPr>
      <w:b/>
      <w:bCs/>
    </w:rPr>
  </w:style>
  <w:style w:type="paragraph" w:styleId="a7">
    <w:name w:val="Normal (Web)"/>
    <w:basedOn w:val="a"/>
    <w:uiPriority w:val="99"/>
    <w:semiHidden/>
    <w:unhideWhenUsed/>
    <w:rsid w:val="00220B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xt">
    <w:name w:val="txt"/>
    <w:basedOn w:val="a"/>
    <w:rsid w:val="00220B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microsoft.com/office/2007/relationships/hdphoto" Target="media/hdphoto1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5</Pages>
  <Words>1248</Words>
  <Characters>7116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Irina Irina</cp:lastModifiedBy>
  <cp:revision>2</cp:revision>
  <dcterms:created xsi:type="dcterms:W3CDTF">2021-03-31T18:20:00Z</dcterms:created>
  <dcterms:modified xsi:type="dcterms:W3CDTF">2025-09-21T04:08:00Z</dcterms:modified>
</cp:coreProperties>
</file>