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  <w:tabs>
          <w:tab w:leader="none" w:pos="426" w:val="left"/>
        </w:tabs>
      </w:pPr>
      <w:r>
        <w:rPr>
          <w:b/>
        </w:rPr>
        <w:t>Вопросы к экзамену по дисциплине</w:t>
      </w:r>
    </w:p>
    <w:p>
      <w:pPr>
        <w:pStyle w:val="style0"/>
        <w:jc w:val="center"/>
        <w:tabs>
          <w:tab w:leader="none" w:pos="426" w:val="left"/>
        </w:tabs>
      </w:pPr>
      <w:r>
        <w:rPr>
          <w:b/>
        </w:rPr>
        <w:t>«Защита прав потребителей»</w:t>
      </w:r>
    </w:p>
    <w:p>
      <w:pPr>
        <w:pStyle w:val="style0"/>
        <w:jc w:val="center"/>
        <w:tabs>
          <w:tab w:leader="none" w:pos="426" w:val="left"/>
        </w:tabs>
      </w:pPr>
      <w:r>
        <w:rPr/>
      </w:r>
    </w:p>
    <w:p>
      <w:pPr>
        <w:pStyle w:val="style0"/>
        <w:numPr>
          <w:ilvl w:val="0"/>
          <w:numId w:val="1"/>
        </w:numPr>
        <w:jc w:val="both"/>
      </w:pPr>
      <w:r>
        <w:rPr/>
        <w:t>Понятие законодательства о защите прав потребителей.</w:t>
      </w:r>
    </w:p>
    <w:p>
      <w:pPr>
        <w:pStyle w:val="style0"/>
        <w:numPr>
          <w:ilvl w:val="0"/>
          <w:numId w:val="1"/>
        </w:numPr>
        <w:jc w:val="both"/>
      </w:pPr>
      <w:r>
        <w:rPr/>
        <w:t>Структура законодательства о защите прав потребителей.</w:t>
      </w:r>
    </w:p>
    <w:p>
      <w:pPr>
        <w:pStyle w:val="style0"/>
        <w:numPr>
          <w:ilvl w:val="0"/>
          <w:numId w:val="1"/>
        </w:numPr>
        <w:jc w:val="both"/>
      </w:pPr>
      <w:r>
        <w:rPr/>
        <w:t>Круг лиц, на которых распространяется законодательство о защите прав потребителей.</w:t>
      </w:r>
    </w:p>
    <w:p>
      <w:pPr>
        <w:pStyle w:val="style0"/>
        <w:numPr>
          <w:ilvl w:val="0"/>
          <w:numId w:val="1"/>
        </w:numPr>
        <w:jc w:val="both"/>
      </w:pPr>
      <w:r>
        <w:rPr/>
        <w:t>Понятие качества товаров, работ, услуг.</w:t>
      </w:r>
    </w:p>
    <w:p>
      <w:pPr>
        <w:pStyle w:val="style0"/>
        <w:numPr>
          <w:ilvl w:val="0"/>
          <w:numId w:val="1"/>
        </w:numPr>
        <w:jc w:val="both"/>
      </w:pPr>
      <w:r>
        <w:rPr/>
        <w:t xml:space="preserve">Договор, как средство определения требований к качеству товаров, работ и услуг. </w:t>
      </w:r>
    </w:p>
    <w:p>
      <w:pPr>
        <w:pStyle w:val="style0"/>
        <w:numPr>
          <w:ilvl w:val="0"/>
          <w:numId w:val="1"/>
        </w:numPr>
        <w:jc w:val="both"/>
      </w:pPr>
      <w:r>
        <w:rPr/>
        <w:t>Общие требования к информации, предоставляемой потребителям. Способы доведения информации об исполнителе, изготовителе, продавце.</w:t>
      </w:r>
    </w:p>
    <w:p>
      <w:pPr>
        <w:pStyle w:val="style0"/>
        <w:numPr>
          <w:ilvl w:val="0"/>
          <w:numId w:val="1"/>
        </w:numPr>
        <w:jc w:val="both"/>
      </w:pPr>
      <w:r>
        <w:rPr/>
        <w:t>Информация о товарах (работах, услугах).</w:t>
      </w:r>
    </w:p>
    <w:p>
      <w:pPr>
        <w:pStyle w:val="style0"/>
        <w:numPr>
          <w:ilvl w:val="0"/>
          <w:numId w:val="1"/>
        </w:numPr>
        <w:jc w:val="both"/>
      </w:pPr>
      <w:r>
        <w:rPr/>
        <w:t>Ответственность за ненадлежащую информацию.</w:t>
      </w:r>
    </w:p>
    <w:p>
      <w:pPr>
        <w:pStyle w:val="style0"/>
        <w:numPr>
          <w:ilvl w:val="0"/>
          <w:numId w:val="1"/>
        </w:numPr>
        <w:jc w:val="both"/>
      </w:pPr>
      <w:r>
        <w:rPr/>
        <w:t>Содержание права на безопасность товаров (работ, услуг).</w:t>
      </w:r>
    </w:p>
    <w:p>
      <w:pPr>
        <w:pStyle w:val="style0"/>
        <w:numPr>
          <w:ilvl w:val="0"/>
          <w:numId w:val="1"/>
        </w:numPr>
        <w:jc w:val="both"/>
      </w:pPr>
      <w:r>
        <w:rPr/>
        <w:t>Срок службы и срок годности товаров.</w:t>
      </w:r>
    </w:p>
    <w:p>
      <w:pPr>
        <w:pStyle w:val="style0"/>
        <w:numPr>
          <w:ilvl w:val="0"/>
          <w:numId w:val="1"/>
        </w:numPr>
        <w:jc w:val="both"/>
      </w:pPr>
      <w:r>
        <w:rPr/>
        <w:t>Понятие: недостаток товара (работы, услугу), существенный недостаток товара (работы, услуги).</w:t>
      </w:r>
    </w:p>
    <w:p>
      <w:pPr>
        <w:pStyle w:val="style0"/>
        <w:numPr>
          <w:ilvl w:val="0"/>
          <w:numId w:val="1"/>
        </w:numPr>
        <w:jc w:val="both"/>
      </w:pPr>
      <w:r>
        <w:rPr/>
        <w:t xml:space="preserve">Лица ответственные за причинение вреда. Особенности ответственности продавца (изготовителя, исполнителя) за нарушение прав потребителей. </w:t>
      </w:r>
    </w:p>
    <w:p>
      <w:pPr>
        <w:pStyle w:val="style0"/>
        <w:numPr>
          <w:ilvl w:val="0"/>
          <w:numId w:val="1"/>
        </w:numPr>
        <w:jc w:val="both"/>
      </w:pPr>
      <w:r>
        <w:rPr/>
        <w:t xml:space="preserve">Имущественная ответственность за вред, причиненный вследствие недостатка товара. Компенсация морального вреда. </w:t>
      </w:r>
    </w:p>
    <w:p>
      <w:pPr>
        <w:pStyle w:val="style0"/>
        <w:numPr>
          <w:ilvl w:val="0"/>
          <w:numId w:val="1"/>
        </w:numPr>
        <w:jc w:val="both"/>
      </w:pPr>
      <w:r>
        <w:rPr/>
        <w:t>Последствия продажи товаров ненадлежащего качества. Сроки обнаружения недостатков в товаре.</w:t>
      </w:r>
    </w:p>
    <w:p>
      <w:pPr>
        <w:pStyle w:val="style0"/>
        <w:numPr>
          <w:ilvl w:val="0"/>
          <w:numId w:val="1"/>
        </w:numPr>
        <w:jc w:val="both"/>
      </w:pPr>
      <w:r>
        <w:rPr/>
        <w:t>Замена товара ненадлежащего качества. Порядок расчетов. Порядок обмена товаров ненадлежащего качества.</w:t>
      </w:r>
    </w:p>
    <w:p>
      <w:pPr>
        <w:pStyle w:val="style0"/>
        <w:numPr>
          <w:ilvl w:val="0"/>
          <w:numId w:val="1"/>
        </w:numPr>
        <w:jc w:val="both"/>
      </w:pPr>
      <w:r>
        <w:rPr/>
        <w:t>Порядок удовлетворения требований покупателя. Ответственность продавца (изготовителя) за просрочку выполнения требований потребителя.</w:t>
      </w:r>
    </w:p>
    <w:p>
      <w:pPr>
        <w:pStyle w:val="style0"/>
        <w:numPr>
          <w:ilvl w:val="0"/>
          <w:numId w:val="1"/>
        </w:numPr>
        <w:jc w:val="both"/>
      </w:pPr>
      <w:r>
        <w:rPr/>
        <w:t>Договор на оказание медицинских услуг. Обязательные требования к содержанию договора.</w:t>
      </w:r>
    </w:p>
    <w:p>
      <w:pPr>
        <w:pStyle w:val="style0"/>
        <w:numPr>
          <w:ilvl w:val="0"/>
          <w:numId w:val="1"/>
        </w:numPr>
        <w:jc w:val="both"/>
      </w:pPr>
      <w:r>
        <w:rPr/>
        <w:t>Сроки выполнения работ и оказания услуг. Последствия нарушения исполнителем сроков выполнения работ и оказания услуг.</w:t>
      </w:r>
    </w:p>
    <w:p>
      <w:pPr>
        <w:pStyle w:val="style0"/>
        <w:numPr>
          <w:ilvl w:val="0"/>
          <w:numId w:val="1"/>
        </w:numPr>
        <w:jc w:val="both"/>
      </w:pPr>
      <w:r>
        <w:rPr/>
        <w:t>Права потребителей в случае обнаружения недостатков. Сроки обнаружения и устранения недостатков и предъявления потребителем требований по их поводу.</w:t>
      </w:r>
    </w:p>
    <w:p>
      <w:pPr>
        <w:pStyle w:val="style0"/>
        <w:numPr>
          <w:ilvl w:val="0"/>
          <w:numId w:val="1"/>
        </w:numPr>
        <w:jc w:val="both"/>
      </w:pPr>
      <w:r>
        <w:rPr/>
        <w:t>Органы государственной власти, осуществляющие контроль за качеством и безопасностью товаров.</w:t>
      </w:r>
    </w:p>
    <w:p>
      <w:pPr>
        <w:pStyle w:val="style0"/>
        <w:numPr>
          <w:ilvl w:val="0"/>
          <w:numId w:val="1"/>
        </w:numPr>
        <w:jc w:val="both"/>
      </w:pPr>
      <w:r>
        <w:rPr/>
        <w:t>Полномочия органа, осуществляющего санитарный эпидемиологический надзор.</w:t>
      </w:r>
    </w:p>
    <w:p>
      <w:pPr>
        <w:pStyle w:val="style0"/>
      </w:pPr>
      <w:r>
        <w:rPr/>
      </w:r>
    </w:p>
    <w:sectPr>
      <w:formProt w:val="off"/>
      <w:pgSz w:h="16838" w:w="11906"/>
      <w:textDirection w:val="lrTb"/>
      <w:pgNumType w:fmt="decimal"/>
      <w:type w:val="nextPage"/>
      <w:pgMar w:bottom="1134" w:left="1701" w:right="850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Jc w:val="left"/>
      <w:lvlText w:val="%1."/>
      <w:pPr>
        <w:ind w:hanging="360" w:left="360"/>
      </w:pPr>
    </w:lvl>
    <w:lvl w:ilvl="1">
      <w:start w:val="1"/>
      <w:numFmt w:val="decimal"/>
      <w:lvlJc w:val="left"/>
      <w:lvlText w:val="%2."/>
      <w:pPr>
        <w:ind w:hanging="360" w:left="1080"/>
      </w:pPr>
    </w:lvl>
    <w:lvl w:ilvl="2">
      <w:start w:val="1"/>
      <w:numFmt w:val="decimal"/>
      <w:lvlJc w:val="left"/>
      <w:lvlText w:val="%3."/>
      <w:pPr>
        <w:ind w:hanging="360" w:left="1440"/>
      </w:pPr>
    </w:lvl>
    <w:lvl w:ilvl="3">
      <w:start w:val="1"/>
      <w:numFmt w:val="decimal"/>
      <w:lvlJc w:val="left"/>
      <w:lvlText w:val="%4."/>
      <w:pPr>
        <w:ind w:hanging="360" w:left="1800"/>
      </w:pPr>
    </w:lvl>
    <w:lvl w:ilvl="4">
      <w:start w:val="1"/>
      <w:numFmt w:val="decimal"/>
      <w:lvlJc w:val="left"/>
      <w:lvlText w:val="%5."/>
      <w:pPr>
        <w:ind w:hanging="360" w:left="2160"/>
      </w:pPr>
    </w:lvl>
    <w:lvl w:ilvl="5">
      <w:start w:val="1"/>
      <w:numFmt w:val="decimal"/>
      <w:lvlJc w:val="left"/>
      <w:lvlText w:val="%6."/>
      <w:pPr>
        <w:ind w:hanging="360" w:left="2520"/>
      </w:pPr>
    </w:lvl>
    <w:lvl w:ilvl="6">
      <w:start w:val="1"/>
      <w:numFmt w:val="decimal"/>
      <w:lvlJc w:val="left"/>
      <w:lvlText w:val="%7."/>
      <w:pPr>
        <w:ind w:hanging="360" w:left="2880"/>
      </w:pPr>
    </w:lvl>
    <w:lvl w:ilvl="7">
      <w:start w:val="1"/>
      <w:numFmt w:val="decimal"/>
      <w:lvlJc w:val="left"/>
      <w:lvlText w:val="%8."/>
      <w:pPr>
        <w:ind w:hanging="360" w:left="3240"/>
      </w:pPr>
    </w:lvl>
    <w:lvl w:ilvl="8">
      <w:start w:val="1"/>
      <w:numFmt w:val="decimal"/>
      <w:lvlJc w:val="left"/>
      <w:lvlText w:val="%9."/>
      <w:pPr>
        <w:ind w:hanging="360" w:left="3600"/>
      </w:pPr>
    </w:lvl>
  </w:abstractNum>
  <w:abstractNum w:abstractNumId="2">
    <w:lvl w:ilvl="0">
      <w:start w:val="1"/>
      <w:numFmt w:val="none"/>
      <w:lvlJc w:val="left"/>
      <w:suff w:val="nothing"/>
      <w:lvlText w:val=""/>
      <w:pPr>
        <w:ind w:hanging="432" w:left="432"/>
      </w:pPr>
    </w:lvl>
    <w:lvl w:ilvl="1">
      <w:start w:val="1"/>
      <w:numFmt w:val="none"/>
      <w:lvlJc w:val="left"/>
      <w:suff w:val="nothing"/>
      <w:lvlText w:val=""/>
      <w:pPr>
        <w:ind w:hanging="576" w:left="576"/>
      </w:pPr>
    </w:lvl>
    <w:lvl w:ilvl="2">
      <w:start w:val="1"/>
      <w:numFmt w:val="none"/>
      <w:lvlJc w:val="left"/>
      <w:suff w:val="nothing"/>
      <w:lvlText w:val=""/>
      <w:pPr>
        <w:ind w:hanging="720" w:left="720"/>
      </w:pPr>
    </w:lvl>
    <w:lvl w:ilvl="3">
      <w:start w:val="1"/>
      <w:numFmt w:val="none"/>
      <w:lvlJc w:val="left"/>
      <w:suff w:val="nothing"/>
      <w:lvlText w:val=""/>
      <w:pPr>
        <w:ind w:hanging="864" w:left="864"/>
      </w:pPr>
    </w:lvl>
    <w:lvl w:ilvl="4">
      <w:start w:val="1"/>
      <w:numFmt w:val="none"/>
      <w:lvlJc w:val="left"/>
      <w:suff w:val="nothing"/>
      <w:lvlText w:val=""/>
      <w:pPr>
        <w:ind w:hanging="1008" w:left="1008"/>
      </w:pPr>
    </w:lvl>
    <w:lvl w:ilvl="5">
      <w:start w:val="1"/>
      <w:numFmt w:val="none"/>
      <w:lvlJc w:val="left"/>
      <w:suff w:val="nothing"/>
      <w:lvlText w:val=""/>
      <w:pPr>
        <w:ind w:hanging="1152" w:left="1152"/>
      </w:pPr>
    </w:lvl>
    <w:lvl w:ilvl="6">
      <w:start w:val="1"/>
      <w:numFmt w:val="none"/>
      <w:lvlJc w:val="left"/>
      <w:suff w:val="nothing"/>
      <w:lvlText w:val=""/>
      <w:pPr>
        <w:ind w:hanging="1296" w:left="1296"/>
      </w:pPr>
    </w:lvl>
    <w:lvl w:ilvl="7">
      <w:start w:val="1"/>
      <w:numFmt w:val="none"/>
      <w:lvlJc w:val="left"/>
      <w:suff w:val="nothing"/>
      <w:lvlText w:val=""/>
      <w:pPr>
        <w:ind w:hanging="1440" w:left="1440"/>
      </w:pPr>
    </w:lvl>
    <w:lvl w:ilvl="8">
      <w:start w:val="1"/>
      <w:numFmt w:val="none"/>
      <w:lvlJc w:val="left"/>
      <w:suff w:val="nothing"/>
      <w:lvlText w:val=""/>
      <w:pPr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0" w:before="0" w:line="100" w:lineRule="atLeast"/>
    </w:pPr>
    <w:rPr>
      <w:color w:val="auto"/>
      <w:sz w:val="28"/>
      <w:szCs w:val="20"/>
      <w:rFonts w:ascii="Times New Roman" w:cs="Times New Roman" w:eastAsia="Times New Roman" w:hAnsi="Times New Roman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</w:pPr>
    <w:rPr>
      <w:sz w:val="28"/>
      <w:szCs w:val="28"/>
      <w:rFonts w:ascii="Arial" w:cs="Mangal" w:eastAsia="Arial Unicode MS" w:hAnsi="Arial"/>
    </w:rPr>
  </w:style>
  <w:style w:styleId="style17" w:type="paragraph">
    <w:name w:val="Основной текст"/>
    <w:basedOn w:val="style0"/>
    <w:next w:val="style17"/>
    <w:pPr>
      <w:spacing w:after="120" w:before="0"/>
    </w:pPr>
    <w:rPr/>
  </w:style>
  <w:style w:styleId="style18" w:type="paragraph">
    <w:name w:val="Список"/>
    <w:basedOn w:val="style17"/>
    <w:next w:val="style18"/>
    <w:pPr/>
    <w:rPr>
      <w:rFonts w:cs="Mangal"/>
    </w:rPr>
  </w:style>
  <w:style w:styleId="style19" w:type="paragraph">
    <w:name w:val="Название"/>
    <w:basedOn w:val="style0"/>
    <w:next w:val="style19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20" w:type="paragraph">
    <w:name w:val="Указатель"/>
    <w:basedOn w:val="style0"/>
    <w:next w:val="style20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OpenOffice.org/3.2$Win32 OpenOffice.org_project/320m12$Build-9483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2013-10-09T06:34:00.00Z</dcterms:created>
  <dc:creator>Admin</dc:creator>
  <cp:lastModifiedBy>Admin</cp:lastModifiedBy>
  <dcterms:modified xsi:type="dcterms:W3CDTF">2013-10-09T06:35:00.00Z</dcterms:modified>
  <cp:revision>1</cp:revision>
</cp:coreProperties>
</file>