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0F9" w:rsidRDefault="003610F9" w:rsidP="003610F9">
      <w:pPr>
        <w:pStyle w:val="s1"/>
        <w:spacing w:before="0" w:beforeAutospacing="0" w:after="0" w:afterAutospacing="0"/>
        <w:ind w:left="567" w:right="566"/>
        <w:jc w:val="center"/>
        <w:rPr>
          <w:b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 xml:space="preserve">Порядок заполнения учётной формы № 043/у </w:t>
      </w:r>
    </w:p>
    <w:bookmarkEnd w:id="0"/>
    <w:p w:rsidR="003610F9" w:rsidRDefault="003610F9" w:rsidP="003610F9">
      <w:pPr>
        <w:pStyle w:val="s1"/>
        <w:spacing w:before="0" w:beforeAutospacing="0" w:after="0" w:afterAutospacing="0"/>
        <w:ind w:left="567" w:right="56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“Медицинская карта стоматологического пациента получающего стоматологическую помощь в амбулаторных условиях”.</w:t>
      </w:r>
    </w:p>
    <w:p w:rsidR="003610F9" w:rsidRDefault="003610F9" w:rsidP="003610F9">
      <w:pPr>
        <w:pStyle w:val="s1"/>
        <w:spacing w:before="0" w:beforeAutospacing="0" w:after="0" w:afterAutospacing="0"/>
        <w:ind w:firstLine="567"/>
        <w:jc w:val="both"/>
        <w:rPr>
          <w:i/>
          <w:color w:val="000000"/>
        </w:rPr>
      </w:pPr>
      <w:r>
        <w:rPr>
          <w:i/>
          <w:color w:val="000000"/>
        </w:rPr>
        <w:t xml:space="preserve">Унификация медицинской документации и единая терминология обеспечит полное понимание между врачами о причинах заболевания пациента, о поставленном диагнозе, о </w:t>
      </w:r>
      <w:proofErr w:type="gramStart"/>
      <w:r>
        <w:rPr>
          <w:i/>
          <w:color w:val="000000"/>
        </w:rPr>
        <w:t>методиках</w:t>
      </w:r>
      <w:proofErr w:type="gramEnd"/>
      <w:r>
        <w:rPr>
          <w:i/>
          <w:color w:val="000000"/>
        </w:rPr>
        <w:t xml:space="preserve"> применяемых во время лечения, позволит провести анализ результатов лечения и определить его качество. </w:t>
      </w:r>
    </w:p>
    <w:p w:rsidR="003610F9" w:rsidRDefault="003610F9" w:rsidP="003610F9">
      <w:pPr>
        <w:pStyle w:val="s1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1. Учётная форма  № 043/у "Медицинская карта стоматологического пациента, получающего медицинскую помощь в амбулаторных условиях" (далее -  Карта) является основным учетным  документом медицинской организации, оказывающей стоматологическую помощь в амбулаторных условиях населению (далее - медицинская организация).</w:t>
      </w:r>
    </w:p>
    <w:p w:rsidR="003610F9" w:rsidRDefault="003610F9" w:rsidP="003610F9">
      <w:pPr>
        <w:pStyle w:val="s1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2. Записи в Карте производятся на русском языке, аккуратно, без сокращений, все необходимые  исправления осуществляются незамедлительно и подтверждаются подписью специалиста, заполняющего Карту. Допускается запись наименований лекарственных препаратов, материалов, методик и технологий на латинском языке.</w:t>
      </w:r>
    </w:p>
    <w:p w:rsidR="003610F9" w:rsidRDefault="003610F9" w:rsidP="003610F9">
      <w:pPr>
        <w:pStyle w:val="s1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3. Карта оформляется на каждого впервые обратившегося пациента за стоматологической помощью в амбулаторных условиях. На каждого пациента оформляется только одна Карта, независимо от того, сколько специалистов проводило прием. Карта заполняется на каждом приеме пациента.</w:t>
      </w:r>
    </w:p>
    <w:p w:rsidR="003610F9" w:rsidRDefault="003610F9" w:rsidP="003610F9">
      <w:pPr>
        <w:pStyle w:val="s1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 xml:space="preserve">4. Карта заполняется врачами-стоматологами, зубными врачами и </w:t>
      </w:r>
      <w:proofErr w:type="gramStart"/>
      <w:r>
        <w:rPr>
          <w:color w:val="000000"/>
        </w:rPr>
        <w:t>гигиенистами-стоматологическими</w:t>
      </w:r>
      <w:proofErr w:type="gramEnd"/>
      <w:r>
        <w:rPr>
          <w:color w:val="000000"/>
        </w:rPr>
        <w:t xml:space="preserve">. </w:t>
      </w:r>
    </w:p>
    <w:p w:rsidR="003610F9" w:rsidRDefault="003610F9" w:rsidP="003610F9">
      <w:pPr>
        <w:pStyle w:val="s1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 xml:space="preserve">5. В Карту вносятся данные, отражающие характер течения стоматологического заболевания (жалобы, данные осмотра, предварительный диагноз, данные обследования, клинический диагноз, план лечения и др.). Диагностические и лечебные мероприятия, проводимые специалистами, фиксируются в строгой последовательности, путем заполнения  соответствующих разделов. </w:t>
      </w:r>
    </w:p>
    <w:p w:rsidR="003610F9" w:rsidRDefault="003610F9" w:rsidP="003610F9">
      <w:pPr>
        <w:pStyle w:val="s1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 xml:space="preserve">6. На титульном листе Карты указывается полное наименование медицинской организации в соответствии с ее учредительными документами, а также ОГРН, номер Карты - установленный медицинской организацией и дата первичного заполнения Карты.  </w:t>
      </w:r>
    </w:p>
    <w:p w:rsidR="003610F9" w:rsidRDefault="003610F9" w:rsidP="003610F9">
      <w:pPr>
        <w:pStyle w:val="s1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 xml:space="preserve"> 7. В п.1 указывается Фамилия, Имя, Отчество пациента, дата его рождения в соответствии с записью в предоставленном документе удостоверяющего личность и СНИЛС (Страховой Номер Индивидуального Лицевого Счета). В разделе «Особые отметки», делается отметка,  которая предупреждает врача о наличие информации, на которую необходимо обратить перед приемом, особое внимание.</w:t>
      </w:r>
    </w:p>
    <w:p w:rsidR="003610F9" w:rsidRDefault="003610F9" w:rsidP="003610F9">
      <w:pPr>
        <w:pStyle w:val="s1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 xml:space="preserve">8. В п. 2 указывается адрес регистрации на основании сведений, указанных в документе, удостоверяющем личность, </w:t>
      </w:r>
    </w:p>
    <w:p w:rsidR="003610F9" w:rsidRDefault="003610F9" w:rsidP="003610F9">
      <w:pPr>
        <w:pStyle w:val="s1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 xml:space="preserve">9. В п. 3 указывается фактический адрес проживания на основании данных указанных в предоставленных документах или со слов пациента. В случае изменения адреса регистрации или места жительства вносятся соответствующие изменения. </w:t>
      </w:r>
    </w:p>
    <w:p w:rsidR="003610F9" w:rsidRDefault="003610F9" w:rsidP="003610F9">
      <w:pPr>
        <w:pStyle w:val="s1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 xml:space="preserve"> 10. В п. 4 указывается контактный телефон.</w:t>
      </w:r>
    </w:p>
    <w:p w:rsidR="003610F9" w:rsidRDefault="003610F9" w:rsidP="003610F9">
      <w:pPr>
        <w:pStyle w:val="s1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 xml:space="preserve"> 11. В п. 5 указывается адрес электронной почты.</w:t>
      </w:r>
    </w:p>
    <w:p w:rsidR="003610F9" w:rsidRDefault="003610F9" w:rsidP="003610F9">
      <w:pPr>
        <w:pStyle w:val="s1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 xml:space="preserve"> 12. В п. 6 указывается документ, удостоверяющий личность пациента.</w:t>
      </w:r>
    </w:p>
    <w:p w:rsidR="003610F9" w:rsidRDefault="003610F9" w:rsidP="003610F9">
      <w:pPr>
        <w:pStyle w:val="s1"/>
        <w:spacing w:before="0" w:beforeAutospacing="0" w:after="0" w:afterAutospacing="0"/>
        <w:jc w:val="both"/>
        <w:rPr>
          <w:i/>
          <w:color w:val="000000"/>
        </w:rPr>
      </w:pPr>
      <w:proofErr w:type="spellStart"/>
      <w:r>
        <w:rPr>
          <w:rStyle w:val="s10"/>
          <w:b/>
          <w:i/>
          <w:color w:val="000000"/>
        </w:rPr>
        <w:t>Примечание</w:t>
      </w:r>
      <w:proofErr w:type="gramStart"/>
      <w:r>
        <w:rPr>
          <w:rStyle w:val="s10"/>
          <w:b/>
          <w:i/>
          <w:color w:val="000000"/>
        </w:rPr>
        <w:t>:</w:t>
      </w:r>
      <w:r>
        <w:rPr>
          <w:i/>
          <w:color w:val="000000"/>
        </w:rPr>
        <w:t>О</w:t>
      </w:r>
      <w:proofErr w:type="gramEnd"/>
      <w:r>
        <w:rPr>
          <w:i/>
          <w:color w:val="000000"/>
        </w:rPr>
        <w:t>сновным</w:t>
      </w:r>
      <w:proofErr w:type="spellEnd"/>
      <w:r>
        <w:rPr>
          <w:i/>
          <w:color w:val="000000"/>
        </w:rPr>
        <w:t xml:space="preserve"> документом, удостоверяющим личность гражданина Российской Федерации на территории Российской Федерации, является паспорт*(1).</w:t>
      </w:r>
    </w:p>
    <w:p w:rsidR="003610F9" w:rsidRDefault="003610F9" w:rsidP="003610F9">
      <w:pPr>
        <w:pStyle w:val="s1"/>
        <w:spacing w:before="0" w:beforeAutospacing="0" w:after="0" w:afterAutospacing="0"/>
        <w:ind w:firstLine="567"/>
        <w:jc w:val="both"/>
        <w:rPr>
          <w:i/>
          <w:color w:val="000000"/>
        </w:rPr>
      </w:pPr>
      <w:proofErr w:type="gramStart"/>
      <w:r>
        <w:rPr>
          <w:i/>
          <w:color w:val="000000"/>
        </w:rPr>
        <w:t>Документом, удостоверяющим личность лица, трудящегося по найму, занятого или работающего в любом качестве на борту морского судна (за исключением военного корабля), морского судна рыбопромыслового флота, а также судна смешанного (река - море) плавания, используемых для целей торгового мореплавания, является удостоверение личности моряка*(2).</w:t>
      </w:r>
      <w:proofErr w:type="gramEnd"/>
    </w:p>
    <w:p w:rsidR="003610F9" w:rsidRDefault="003610F9" w:rsidP="003610F9">
      <w:pPr>
        <w:pStyle w:val="s1"/>
        <w:spacing w:before="0" w:beforeAutospacing="0" w:after="0" w:afterAutospacing="0"/>
        <w:ind w:firstLine="567"/>
        <w:jc w:val="both"/>
        <w:rPr>
          <w:i/>
          <w:color w:val="000000"/>
        </w:rPr>
      </w:pPr>
      <w:r>
        <w:rPr>
          <w:i/>
          <w:color w:val="000000"/>
        </w:rPr>
        <w:lastRenderedPageBreak/>
        <w:t>Документом, удостоверяющим личность военнослужащего Российской Федерации, является удостоверение личности военнослужащего Российской Федерации*(3).</w:t>
      </w:r>
    </w:p>
    <w:p w:rsidR="003610F9" w:rsidRDefault="003610F9" w:rsidP="003610F9">
      <w:pPr>
        <w:pStyle w:val="s1"/>
        <w:spacing w:before="0" w:beforeAutospacing="0" w:after="0" w:afterAutospacing="0"/>
        <w:ind w:firstLine="567"/>
        <w:jc w:val="both"/>
        <w:rPr>
          <w:i/>
          <w:color w:val="000000"/>
        </w:rPr>
      </w:pPr>
      <w:r>
        <w:rPr>
          <w:i/>
          <w:color w:val="000000"/>
        </w:rPr>
        <w:t>Документами, удостоверяющими личность иностранного гражданина в Российской Федерации, являются паспорт иностранного гражданина либо 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гражданина.</w:t>
      </w:r>
    </w:p>
    <w:p w:rsidR="003610F9" w:rsidRDefault="003610F9" w:rsidP="003610F9">
      <w:pPr>
        <w:pStyle w:val="s1"/>
        <w:spacing w:before="0" w:beforeAutospacing="0" w:after="0" w:afterAutospacing="0"/>
        <w:ind w:firstLine="567"/>
        <w:jc w:val="both"/>
        <w:rPr>
          <w:i/>
          <w:color w:val="000000"/>
        </w:rPr>
      </w:pPr>
      <w:r>
        <w:rPr>
          <w:i/>
          <w:color w:val="000000"/>
        </w:rPr>
        <w:t>Документом, удостоверяющим личность лица, ходатайствующего о признании беженцем, является свидетельство о рассмотрении ходатайства о признании беженцем по существу, а документом, удостоверяющим личность лица, признанного беженцем, является удостоверение беженца*(4).</w:t>
      </w:r>
    </w:p>
    <w:p w:rsidR="003610F9" w:rsidRDefault="003610F9" w:rsidP="003610F9">
      <w:pPr>
        <w:pStyle w:val="s1"/>
        <w:spacing w:before="0" w:beforeAutospacing="0" w:after="0" w:afterAutospacing="0"/>
        <w:ind w:firstLine="567"/>
        <w:jc w:val="both"/>
        <w:rPr>
          <w:i/>
          <w:color w:val="000000"/>
        </w:rPr>
      </w:pPr>
      <w:r>
        <w:rPr>
          <w:i/>
          <w:color w:val="000000"/>
        </w:rPr>
        <w:t>Документами, удостоверяющими личность лица без гражданства в Российской Федерации, являются:</w:t>
      </w:r>
    </w:p>
    <w:p w:rsidR="003610F9" w:rsidRDefault="003610F9" w:rsidP="003610F9">
      <w:pPr>
        <w:pStyle w:val="s1"/>
        <w:spacing w:before="0" w:beforeAutospacing="0" w:after="0" w:afterAutospacing="0"/>
        <w:ind w:firstLine="567"/>
        <w:jc w:val="both"/>
        <w:rPr>
          <w:i/>
          <w:color w:val="000000"/>
        </w:rPr>
      </w:pPr>
      <w:r>
        <w:rPr>
          <w:i/>
          <w:color w:val="000000"/>
        </w:rPr>
        <w:t>документ, выданный иностранным государством и признаваемый в соответствии с международным договором Российской Федерации в качестве документа, удостоверяющего личность лица без гражданства;</w:t>
      </w:r>
    </w:p>
    <w:p w:rsidR="003610F9" w:rsidRDefault="003610F9" w:rsidP="003610F9">
      <w:pPr>
        <w:pStyle w:val="s1"/>
        <w:spacing w:before="0" w:beforeAutospacing="0" w:after="0" w:afterAutospacing="0"/>
        <w:ind w:firstLine="567"/>
        <w:jc w:val="both"/>
        <w:rPr>
          <w:i/>
          <w:color w:val="000000"/>
        </w:rPr>
      </w:pPr>
      <w:r>
        <w:rPr>
          <w:i/>
          <w:color w:val="000000"/>
        </w:rPr>
        <w:t>разрешение на временное проживание;</w:t>
      </w:r>
    </w:p>
    <w:p w:rsidR="003610F9" w:rsidRDefault="003610F9" w:rsidP="003610F9">
      <w:pPr>
        <w:pStyle w:val="s1"/>
        <w:spacing w:before="0" w:beforeAutospacing="0" w:after="0" w:afterAutospacing="0"/>
        <w:ind w:firstLine="567"/>
        <w:jc w:val="both"/>
        <w:rPr>
          <w:i/>
          <w:color w:val="000000"/>
        </w:rPr>
      </w:pPr>
      <w:r>
        <w:rPr>
          <w:i/>
          <w:color w:val="000000"/>
        </w:rPr>
        <w:t>вид на жительство;</w:t>
      </w:r>
    </w:p>
    <w:p w:rsidR="003610F9" w:rsidRDefault="003610F9" w:rsidP="003610F9">
      <w:pPr>
        <w:pStyle w:val="s1"/>
        <w:spacing w:before="0" w:beforeAutospacing="0" w:after="0" w:afterAutospacing="0"/>
        <w:ind w:firstLine="567"/>
        <w:jc w:val="both"/>
        <w:rPr>
          <w:i/>
          <w:color w:val="000000"/>
        </w:rPr>
      </w:pPr>
      <w:r>
        <w:rPr>
          <w:i/>
          <w:color w:val="000000"/>
        </w:rPr>
        <w:t>иные документы, предусмотренные федеральным законом или признаваемые в соответствии с международным договором Российской Федерации в качестве документов, удостоверяющих личность лица без гражданства*(5).</w:t>
      </w:r>
    </w:p>
    <w:p w:rsidR="003610F9" w:rsidRDefault="003610F9" w:rsidP="003610F9">
      <w:pPr>
        <w:pStyle w:val="s1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3. В п. 7 указывается название страховой медицинской организации.</w:t>
      </w:r>
    </w:p>
    <w:p w:rsidR="003610F9" w:rsidRDefault="003610F9" w:rsidP="003610F9">
      <w:pPr>
        <w:pStyle w:val="s1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14. В п. 8 записывается серия и номер страхового полиса обязательного медицинского страхования, и (или) страхового полиса добровольного медицинского страхования.</w:t>
      </w:r>
    </w:p>
    <w:p w:rsidR="003610F9" w:rsidRDefault="003610F9" w:rsidP="003610F9">
      <w:pPr>
        <w:pStyle w:val="s1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15. В п. 9 указывается код категории льготы в соответствии с категориями граждан, имеющих право на получение государственной социальной помощи в виде набора социальных услуг*(6):</w:t>
      </w:r>
    </w:p>
    <w:p w:rsidR="003610F9" w:rsidRDefault="003610F9" w:rsidP="003610F9">
      <w:pPr>
        <w:pStyle w:val="s1"/>
        <w:spacing w:before="0" w:beforeAutospacing="0" w:after="0" w:afterAutospacing="0"/>
        <w:ind w:firstLine="567"/>
        <w:jc w:val="both"/>
        <w:rPr>
          <w:i/>
          <w:color w:val="000000"/>
        </w:rPr>
      </w:pPr>
      <w:r>
        <w:rPr>
          <w:i/>
          <w:color w:val="000000"/>
        </w:rPr>
        <w:t>"1" - инвалиды войны;</w:t>
      </w:r>
    </w:p>
    <w:p w:rsidR="003610F9" w:rsidRDefault="003610F9" w:rsidP="003610F9">
      <w:pPr>
        <w:pStyle w:val="s1"/>
        <w:spacing w:before="0" w:beforeAutospacing="0" w:after="0" w:afterAutospacing="0"/>
        <w:ind w:firstLine="567"/>
        <w:jc w:val="both"/>
        <w:rPr>
          <w:i/>
          <w:color w:val="000000"/>
        </w:rPr>
      </w:pPr>
      <w:r>
        <w:rPr>
          <w:i/>
          <w:color w:val="000000"/>
        </w:rPr>
        <w:t>"2" - участники Великой Отечественной войны;</w:t>
      </w:r>
    </w:p>
    <w:p w:rsidR="003610F9" w:rsidRDefault="003610F9" w:rsidP="003610F9">
      <w:pPr>
        <w:pStyle w:val="s1"/>
        <w:spacing w:before="0" w:beforeAutospacing="0" w:after="0" w:afterAutospacing="0"/>
        <w:ind w:firstLine="567"/>
        <w:jc w:val="both"/>
        <w:rPr>
          <w:i/>
          <w:color w:val="000000"/>
        </w:rPr>
      </w:pPr>
      <w:r>
        <w:rPr>
          <w:i/>
          <w:color w:val="000000"/>
        </w:rPr>
        <w:t xml:space="preserve">"3" - ветераны боевых действий из числа лиц, указанных в </w:t>
      </w:r>
      <w:hyperlink r:id="rId5" w:anchor="block_311" w:history="1">
        <w:r>
          <w:rPr>
            <w:rStyle w:val="a3"/>
            <w:i/>
            <w:color w:val="000000"/>
          </w:rPr>
          <w:t xml:space="preserve">подпунктах 1-4 пункта 1 статьи 3 </w:t>
        </w:r>
      </w:hyperlink>
      <w:r>
        <w:rPr>
          <w:i/>
          <w:color w:val="000000"/>
        </w:rPr>
        <w:t>Федерального закона от 12.01.1995 N 5-ФЗ "О ветеранах"*(7);</w:t>
      </w:r>
    </w:p>
    <w:p w:rsidR="003610F9" w:rsidRDefault="003610F9" w:rsidP="003610F9">
      <w:pPr>
        <w:pStyle w:val="s1"/>
        <w:spacing w:before="0" w:beforeAutospacing="0" w:after="0" w:afterAutospacing="0"/>
        <w:ind w:firstLine="567"/>
        <w:jc w:val="both"/>
        <w:rPr>
          <w:i/>
          <w:color w:val="000000"/>
        </w:rPr>
      </w:pPr>
      <w:r>
        <w:rPr>
          <w:i/>
          <w:color w:val="000000"/>
        </w:rPr>
        <w:t>"4" - военнослужащие, проходившие военную службу в воинских частях, учреждениях, военно-учебных заведениях, не входивших в состав действующей армии, в период с 22 июня 1941 года по 3 сентября 1945 года не менее шести месяцев, военнослужащие, награжденные орденами или медалями СССР за службу в указанный период;</w:t>
      </w:r>
    </w:p>
    <w:p w:rsidR="003610F9" w:rsidRDefault="003610F9" w:rsidP="003610F9">
      <w:pPr>
        <w:pStyle w:val="s1"/>
        <w:spacing w:before="0" w:beforeAutospacing="0" w:after="0" w:afterAutospacing="0"/>
        <w:ind w:firstLine="567"/>
        <w:jc w:val="both"/>
        <w:rPr>
          <w:i/>
          <w:color w:val="000000"/>
        </w:rPr>
      </w:pPr>
      <w:r>
        <w:rPr>
          <w:i/>
          <w:color w:val="000000"/>
        </w:rPr>
        <w:t>"5" - лица, награжденные знаком "Жителю блокадного Ленинграда";</w:t>
      </w:r>
    </w:p>
    <w:p w:rsidR="003610F9" w:rsidRDefault="003610F9" w:rsidP="003610F9">
      <w:pPr>
        <w:pStyle w:val="s1"/>
        <w:spacing w:before="0" w:beforeAutospacing="0" w:after="0" w:afterAutospacing="0"/>
        <w:ind w:firstLine="567"/>
        <w:jc w:val="both"/>
        <w:rPr>
          <w:i/>
          <w:color w:val="000000"/>
        </w:rPr>
      </w:pPr>
      <w:proofErr w:type="gramStart"/>
      <w:r>
        <w:rPr>
          <w:i/>
          <w:color w:val="000000"/>
        </w:rPr>
        <w:t>"6" - лица, работавшие в период Великой Отечественной войны на объектах противовоздушной обороны, местной противовоздушной обороны, на строительстве оборонительных сооружений, военно-морских баз, аэродромов и других военных объектов в пределах тыловых границ действующих фронтов, операционных зон действующих флотов, на прифронтовых участках железных и автомобильных дорог, а также члены экипажей судов транспортного флота, интернированных в начале Великой Отечественной войны в портах других государств;</w:t>
      </w:r>
      <w:proofErr w:type="gramEnd"/>
    </w:p>
    <w:p w:rsidR="003610F9" w:rsidRDefault="003610F9" w:rsidP="003610F9">
      <w:pPr>
        <w:pStyle w:val="s1"/>
        <w:spacing w:before="0" w:beforeAutospacing="0" w:after="0" w:afterAutospacing="0"/>
        <w:ind w:firstLine="567"/>
        <w:jc w:val="both"/>
        <w:rPr>
          <w:i/>
          <w:color w:val="000000"/>
        </w:rPr>
      </w:pPr>
      <w:r>
        <w:rPr>
          <w:i/>
          <w:color w:val="000000"/>
        </w:rPr>
        <w:t>"7" - члены семей погибших (умерших) инвалидов войны, участников Великой Отечественной войны и ветеранов боевых действий, члены семей погибших в Великой Отечественной войне лиц из числа личного состава групп самозащиты объектовых и аварийных команд местной противовоздушной обороны, а также члены семей погибших работников госпиталей и больниц города Ленинграда;</w:t>
      </w:r>
    </w:p>
    <w:p w:rsidR="003610F9" w:rsidRDefault="003610F9" w:rsidP="003610F9">
      <w:pPr>
        <w:pStyle w:val="s1"/>
        <w:spacing w:before="0" w:beforeAutospacing="0" w:after="0" w:afterAutospacing="0"/>
        <w:ind w:firstLine="567"/>
        <w:jc w:val="both"/>
        <w:rPr>
          <w:i/>
          <w:color w:val="000000"/>
        </w:rPr>
      </w:pPr>
      <w:r>
        <w:rPr>
          <w:i/>
          <w:color w:val="000000"/>
        </w:rPr>
        <w:t>"8" - инвалиды;</w:t>
      </w:r>
    </w:p>
    <w:p w:rsidR="003610F9" w:rsidRDefault="003610F9" w:rsidP="003610F9">
      <w:pPr>
        <w:pStyle w:val="s1"/>
        <w:spacing w:before="0" w:beforeAutospacing="0" w:after="0" w:afterAutospacing="0"/>
        <w:ind w:firstLine="567"/>
        <w:jc w:val="both"/>
        <w:rPr>
          <w:i/>
          <w:color w:val="000000"/>
        </w:rPr>
      </w:pPr>
      <w:r>
        <w:rPr>
          <w:i/>
          <w:color w:val="000000"/>
        </w:rPr>
        <w:t>"9" - дети-инвалиды.</w:t>
      </w:r>
    </w:p>
    <w:p w:rsidR="003610F9" w:rsidRDefault="003610F9" w:rsidP="003610F9">
      <w:pPr>
        <w:pStyle w:val="s1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lastRenderedPageBreak/>
        <w:t>16. В п. 10 указывается контактная информация для связи с доверенным лицом пациента, в случае необходимости.</w:t>
      </w:r>
    </w:p>
    <w:p w:rsidR="003610F9" w:rsidRDefault="003610F9" w:rsidP="003610F9">
      <w:pPr>
        <w:pStyle w:val="s1"/>
        <w:spacing w:before="0" w:beforeAutospacing="0" w:after="0" w:afterAutospacing="0"/>
        <w:ind w:firstLine="567"/>
        <w:jc w:val="both"/>
        <w:rPr>
          <w:color w:val="000000"/>
          <w:shd w:val="clear" w:color="auto" w:fill="FFFFFF"/>
        </w:rPr>
      </w:pPr>
      <w:r>
        <w:rPr>
          <w:color w:val="000000"/>
        </w:rPr>
        <w:t xml:space="preserve">17. В п. 11 делается отметка, с указанием даты, о получении информированного добровольного согласия или отказа на определенные виды медицинских вмешательств. </w:t>
      </w:r>
      <w:proofErr w:type="gramStart"/>
      <w:r>
        <w:rPr>
          <w:color w:val="000000"/>
        </w:rPr>
        <w:t>«</w:t>
      </w:r>
      <w:r>
        <w:rPr>
          <w:color w:val="000000"/>
          <w:shd w:val="clear" w:color="auto" w:fill="FFFFFF"/>
        </w:rPr>
        <w:t>Информированное добровольное согласие на виды медицинских вмешательств», включенных в</w:t>
      </w:r>
      <w:r>
        <w:rPr>
          <w:rStyle w:val="apple-converted-space"/>
          <w:color w:val="000000"/>
          <w:shd w:val="clear" w:color="auto" w:fill="FFFFFF"/>
        </w:rPr>
        <w:t> «</w:t>
      </w:r>
      <w:hyperlink r:id="rId6" w:anchor="block_1000" w:history="1">
        <w:r>
          <w:rPr>
            <w:rStyle w:val="a3"/>
            <w:color w:val="000000"/>
            <w:shd w:val="clear" w:color="auto" w:fill="FFFFFF"/>
          </w:rPr>
          <w:t>Перечень</w:t>
        </w:r>
      </w:hyperlink>
      <w:r>
        <w:t>»</w:t>
      </w:r>
      <w:r>
        <w:rPr>
          <w:color w:val="000000"/>
          <w:shd w:val="clear" w:color="auto" w:fill="FFFFFF"/>
        </w:rPr>
        <w:t xml:space="preserve">, оформляется по форме, </w:t>
      </w:r>
      <w:r>
        <w:rPr>
          <w:i/>
          <w:color w:val="000000"/>
          <w:shd w:val="clear" w:color="auto" w:fill="FFFFFF"/>
        </w:rPr>
        <w:t>предусмотренной</w:t>
      </w:r>
      <w:r>
        <w:rPr>
          <w:rStyle w:val="apple-converted-space"/>
          <w:i/>
          <w:color w:val="000000"/>
          <w:shd w:val="clear" w:color="auto" w:fill="FFFFFF"/>
        </w:rPr>
        <w:t> </w:t>
      </w:r>
      <w:hyperlink r:id="rId7" w:anchor="block_2000" w:history="1">
        <w:r>
          <w:rPr>
            <w:rStyle w:val="a3"/>
            <w:i/>
            <w:color w:val="000000"/>
            <w:shd w:val="clear" w:color="auto" w:fill="FFFFFF"/>
          </w:rPr>
          <w:t>приложением N 2</w:t>
        </w:r>
      </w:hyperlink>
      <w:r>
        <w:rPr>
          <w:rStyle w:val="apple-converted-space"/>
          <w:i/>
          <w:color w:val="000000"/>
          <w:shd w:val="clear" w:color="auto" w:fill="FFFFFF"/>
        </w:rPr>
        <w:t> </w:t>
      </w:r>
      <w:r>
        <w:rPr>
          <w:i/>
          <w:color w:val="000000"/>
          <w:shd w:val="clear" w:color="auto" w:fill="FFFFFF"/>
        </w:rPr>
        <w:t>к приказу Министерства здравоохранения Российской Федерации от 20 декабря 2012 г. N 1177н,</w:t>
      </w:r>
      <w:r>
        <w:rPr>
          <w:color w:val="000000"/>
          <w:shd w:val="clear" w:color="auto" w:fill="FFFFFF"/>
        </w:rPr>
        <w:t xml:space="preserve"> подписывается пациентом, одним из родителей или иным законным представителем, а также медицинским работником, оформившим такое согласие, и подшивается в медицинскую документацию пациента.</w:t>
      </w:r>
      <w:proofErr w:type="gramEnd"/>
    </w:p>
    <w:p w:rsidR="003610F9" w:rsidRDefault="003610F9" w:rsidP="003610F9">
      <w:pPr>
        <w:pStyle w:val="s1"/>
        <w:spacing w:before="0" w:beforeAutospacing="0" w:after="0" w:afterAutospacing="0"/>
        <w:ind w:firstLine="567"/>
        <w:jc w:val="both"/>
        <w:rPr>
          <w:color w:val="000000"/>
          <w:shd w:val="clear" w:color="auto" w:fill="FFFFFF"/>
        </w:rPr>
      </w:pPr>
      <w:r>
        <w:rPr>
          <w:rStyle w:val="apple-converted-space"/>
          <w:color w:val="000000"/>
          <w:shd w:val="clear" w:color="auto" w:fill="FFFFFF"/>
        </w:rPr>
        <w:t> </w:t>
      </w:r>
      <w:r>
        <w:rPr>
          <w:color w:val="000000"/>
          <w:shd w:val="clear" w:color="auto" w:fill="FFFFFF"/>
        </w:rPr>
        <w:t>При отказе от видов медицинских вмешательств, включенных в</w:t>
      </w:r>
      <w:r>
        <w:rPr>
          <w:rStyle w:val="apple-converted-space"/>
          <w:color w:val="000000"/>
          <w:shd w:val="clear" w:color="auto" w:fill="FFFFFF"/>
        </w:rPr>
        <w:t> «</w:t>
      </w:r>
      <w:hyperlink r:id="rId8" w:anchor="block_1000" w:history="1">
        <w:r>
          <w:rPr>
            <w:rStyle w:val="a3"/>
            <w:color w:val="000000"/>
            <w:shd w:val="clear" w:color="auto" w:fill="FFFFFF"/>
          </w:rPr>
          <w:t>Перечень</w:t>
        </w:r>
      </w:hyperlink>
      <w:r>
        <w:t>»</w:t>
      </w:r>
      <w:r>
        <w:rPr>
          <w:color w:val="000000"/>
          <w:shd w:val="clear" w:color="auto" w:fill="FFFFFF"/>
        </w:rPr>
        <w:t>, пациенту, одному из родителей или иному законному представителю пациента, в доступной для него форме должны быть разъяснены возможные последствия такого отказа, в том числе вероятность развития осложнений заболевания (состояния).</w:t>
      </w:r>
    </w:p>
    <w:p w:rsidR="003610F9" w:rsidRDefault="003610F9" w:rsidP="003610F9">
      <w:pPr>
        <w:pStyle w:val="s1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hd w:val="clear" w:color="auto" w:fill="FFFFFF"/>
        </w:rPr>
        <w:t>Информированное добровольное согласие на виды медицинских вмешательств, включенных в</w:t>
      </w:r>
      <w:r>
        <w:rPr>
          <w:rStyle w:val="apple-converted-space"/>
          <w:color w:val="000000"/>
          <w:shd w:val="clear" w:color="auto" w:fill="FFFFFF"/>
        </w:rPr>
        <w:t> «</w:t>
      </w:r>
      <w:hyperlink r:id="rId9" w:anchor="block_1000" w:history="1">
        <w:r>
          <w:rPr>
            <w:rStyle w:val="a3"/>
            <w:color w:val="000000"/>
            <w:shd w:val="clear" w:color="auto" w:fill="FFFFFF"/>
          </w:rPr>
          <w:t>Перечень</w:t>
        </w:r>
      </w:hyperlink>
      <w:r>
        <w:t>»</w:t>
      </w:r>
      <w:r>
        <w:rPr>
          <w:color w:val="000000"/>
          <w:shd w:val="clear" w:color="auto" w:fill="FFFFFF"/>
        </w:rPr>
        <w:t>, действительно в течение всего срока оказания первичной медико-санитарной помощи в выбранной медицинской организации.</w:t>
      </w:r>
    </w:p>
    <w:p w:rsidR="003610F9" w:rsidRDefault="003610F9" w:rsidP="003610F9">
      <w:pPr>
        <w:pStyle w:val="s3"/>
        <w:shd w:val="clear" w:color="auto" w:fill="FFFFFF"/>
        <w:spacing w:before="0" w:beforeAutospacing="0" w:after="0" w:afterAutospacing="0"/>
        <w:jc w:val="both"/>
        <w:rPr>
          <w:b/>
          <w:bCs/>
          <w:i/>
          <w:color w:val="000000"/>
        </w:rPr>
      </w:pPr>
      <w:r>
        <w:rPr>
          <w:b/>
          <w:bCs/>
          <w:i/>
          <w:color w:val="000000"/>
        </w:rPr>
        <w:t>Примечание: Выписка из приказа Министерства Здравоохранения и социального развития № 390н от 23 апреля 2012г.</w:t>
      </w:r>
    </w:p>
    <w:p w:rsidR="003610F9" w:rsidRDefault="003610F9" w:rsidP="003610F9">
      <w:pPr>
        <w:pStyle w:val="s3"/>
        <w:shd w:val="clear" w:color="auto" w:fill="FFFFFF"/>
        <w:spacing w:before="0" w:beforeAutospacing="0" w:after="0" w:afterAutospacing="0"/>
        <w:ind w:firstLine="567"/>
        <w:jc w:val="both"/>
        <w:rPr>
          <w:i/>
          <w:color w:val="000000"/>
        </w:rPr>
      </w:pPr>
      <w:r>
        <w:rPr>
          <w:bCs/>
          <w:i/>
          <w:color w:val="000000"/>
        </w:rPr>
        <w:t>«Перечень определенных видов медицинских вмешательств, на которые граждане дают информированное добровольное согласие при выборе врача и медицинской организации для получения первичной медико-санитарной помощи»</w:t>
      </w:r>
    </w:p>
    <w:p w:rsidR="003610F9" w:rsidRDefault="003610F9" w:rsidP="003610F9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i/>
          <w:color w:val="000000"/>
        </w:rPr>
      </w:pPr>
      <w:r>
        <w:rPr>
          <w:i/>
          <w:color w:val="000000"/>
        </w:rPr>
        <w:t>- Опрос, в том числе выявление жалоб, сбор анамнеза.</w:t>
      </w:r>
    </w:p>
    <w:p w:rsidR="003610F9" w:rsidRDefault="003610F9" w:rsidP="003610F9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i/>
          <w:color w:val="000000"/>
        </w:rPr>
      </w:pPr>
      <w:r>
        <w:rPr>
          <w:i/>
          <w:color w:val="000000"/>
        </w:rPr>
        <w:t>- Осмотр, в том числе пальпация, перкуссия.</w:t>
      </w:r>
    </w:p>
    <w:p w:rsidR="003610F9" w:rsidRDefault="003610F9" w:rsidP="003610F9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i/>
          <w:color w:val="000000"/>
        </w:rPr>
      </w:pPr>
      <w:r>
        <w:rPr>
          <w:i/>
          <w:color w:val="000000"/>
        </w:rPr>
        <w:t>- Антропометрические исследования.</w:t>
      </w:r>
    </w:p>
    <w:p w:rsidR="003610F9" w:rsidRDefault="003610F9" w:rsidP="003610F9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i/>
          <w:color w:val="000000"/>
        </w:rPr>
      </w:pPr>
      <w:r>
        <w:rPr>
          <w:i/>
          <w:color w:val="000000"/>
        </w:rPr>
        <w:t>- Термометрия.</w:t>
      </w:r>
    </w:p>
    <w:p w:rsidR="003610F9" w:rsidRDefault="003610F9" w:rsidP="003610F9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i/>
          <w:color w:val="000000"/>
        </w:rPr>
      </w:pPr>
      <w:r>
        <w:rPr>
          <w:i/>
          <w:color w:val="000000"/>
        </w:rPr>
        <w:t>- Тонометрия.</w:t>
      </w:r>
    </w:p>
    <w:p w:rsidR="003610F9" w:rsidRDefault="003610F9" w:rsidP="003610F9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i/>
          <w:color w:val="000000"/>
        </w:rPr>
      </w:pPr>
      <w:r>
        <w:rPr>
          <w:i/>
          <w:color w:val="000000"/>
        </w:rPr>
        <w:t>- Лабораторные методы обследования, в том числе клинические, биохимические, бактериологические, вирусологические, иммунологические.</w:t>
      </w:r>
    </w:p>
    <w:p w:rsidR="003610F9" w:rsidRDefault="003610F9" w:rsidP="003610F9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i/>
          <w:color w:val="000000"/>
        </w:rPr>
      </w:pPr>
      <w:r>
        <w:rPr>
          <w:i/>
          <w:color w:val="000000"/>
        </w:rPr>
        <w:t xml:space="preserve">- Рентгенологические методы обследования. </w:t>
      </w:r>
    </w:p>
    <w:p w:rsidR="003610F9" w:rsidRDefault="003610F9" w:rsidP="003610F9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i/>
          <w:color w:val="000000"/>
        </w:rPr>
      </w:pPr>
      <w:r>
        <w:rPr>
          <w:i/>
          <w:color w:val="000000"/>
        </w:rPr>
        <w:t xml:space="preserve">- Введение лекарственных препаратов по назначению врача, в том числе внутримышечно, внутривенно, подкожно, </w:t>
      </w:r>
      <w:proofErr w:type="spellStart"/>
      <w:r>
        <w:rPr>
          <w:i/>
          <w:color w:val="000000"/>
        </w:rPr>
        <w:t>внутрикожно</w:t>
      </w:r>
      <w:proofErr w:type="spellEnd"/>
      <w:r>
        <w:rPr>
          <w:i/>
          <w:color w:val="000000"/>
        </w:rPr>
        <w:t>.</w:t>
      </w:r>
    </w:p>
    <w:p w:rsidR="003610F9" w:rsidRDefault="003610F9" w:rsidP="003610F9">
      <w:pPr>
        <w:pStyle w:val="s1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18. В п.</w:t>
      </w:r>
      <w:r>
        <w:rPr>
          <w:color w:val="000000"/>
          <w:lang w:val="en-US"/>
        </w:rPr>
        <w:t> </w:t>
      </w:r>
      <w:r>
        <w:rPr>
          <w:color w:val="000000"/>
        </w:rPr>
        <w:t xml:space="preserve">12 записываются жалобы, со слов пациента. </w:t>
      </w:r>
    </w:p>
    <w:p w:rsidR="003610F9" w:rsidRDefault="003610F9" w:rsidP="003610F9">
      <w:pPr>
        <w:pStyle w:val="s1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19. В п.</w:t>
      </w:r>
      <w:r>
        <w:rPr>
          <w:color w:val="000000"/>
          <w:lang w:val="en-US"/>
        </w:rPr>
        <w:t> </w:t>
      </w:r>
      <w:r>
        <w:rPr>
          <w:color w:val="000000"/>
        </w:rPr>
        <w:t xml:space="preserve">13 фиксируется </w:t>
      </w:r>
      <w:proofErr w:type="spellStart"/>
      <w:r>
        <w:rPr>
          <w:color w:val="000000"/>
        </w:rPr>
        <w:t>аллергологический</w:t>
      </w:r>
      <w:proofErr w:type="spellEnd"/>
      <w:r>
        <w:rPr>
          <w:color w:val="000000"/>
        </w:rPr>
        <w:t xml:space="preserve"> (аллергический) анамнез на основании данных полученных в ходе сбора анамнеза со слов пациента. </w:t>
      </w:r>
    </w:p>
    <w:p w:rsidR="003610F9" w:rsidRDefault="003610F9" w:rsidP="003610F9">
      <w:pPr>
        <w:pStyle w:val="s1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 xml:space="preserve">20. В п. 14 указывается информация о сопутствующих и перенесенных заболеваниях, на основании данных полученных в ходе опроса со слов пациента. </w:t>
      </w:r>
    </w:p>
    <w:p w:rsidR="003610F9" w:rsidRDefault="003610F9" w:rsidP="003610F9">
      <w:pPr>
        <w:pStyle w:val="s1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 xml:space="preserve">21. В п. 15, на основании данных полученных от пациента указываются принимаемые им, в настоящее время,  лекарственные препараты.  </w:t>
      </w:r>
    </w:p>
    <w:p w:rsidR="003610F9" w:rsidRDefault="003610F9" w:rsidP="003610F9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22. В п. 16 фиксируются данные температуры тела, после проведения термометрии. Процедура проводится по показаниям.</w:t>
      </w:r>
    </w:p>
    <w:p w:rsidR="003610F9" w:rsidRDefault="003610F9" w:rsidP="003610F9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 xml:space="preserve">23. В п. 17 фиксируются данные частоты сердечных сокращений (ЧСС) и данные артериального давления. Процедура проводится по показаниям. </w:t>
      </w:r>
    </w:p>
    <w:p w:rsidR="003610F9" w:rsidRDefault="003610F9" w:rsidP="003610F9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24. В п. 18 указывается информация о развитии настоящего заболевания (</w:t>
      </w:r>
      <w:proofErr w:type="spellStart"/>
      <w:r>
        <w:rPr>
          <w:color w:val="000000"/>
          <w:lang w:val="en-US"/>
        </w:rPr>
        <w:t>anamnesisvitae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anamnesis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morbi</w:t>
      </w:r>
      <w:proofErr w:type="spellEnd"/>
      <w:r>
        <w:rPr>
          <w:color w:val="000000"/>
        </w:rPr>
        <w:t>).</w:t>
      </w:r>
    </w:p>
    <w:p w:rsidR="003610F9" w:rsidRDefault="003610F9" w:rsidP="003610F9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25. В п. 19 вносятся данные внешнего осмотра.</w:t>
      </w:r>
    </w:p>
    <w:p w:rsidR="003610F9" w:rsidRDefault="003610F9" w:rsidP="003610F9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26. В п. 20 вносятся данные осмотра преддверия и полости рта</w:t>
      </w:r>
    </w:p>
    <w:p w:rsidR="003610F9" w:rsidRDefault="003610F9" w:rsidP="003610F9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(</w:t>
      </w:r>
      <w:proofErr w:type="spellStart"/>
      <w:r>
        <w:rPr>
          <w:color w:val="000000"/>
        </w:rPr>
        <w:t>status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localis</w:t>
      </w:r>
      <w:proofErr w:type="spellEnd"/>
      <w:r>
        <w:rPr>
          <w:color w:val="000000"/>
        </w:rPr>
        <w:t>)</w:t>
      </w:r>
      <w:r>
        <w:t>.</w:t>
      </w:r>
    </w:p>
    <w:p w:rsidR="003610F9" w:rsidRDefault="003610F9" w:rsidP="003610F9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 xml:space="preserve">27. В п. 21 для визуализации состояния отдельных зубов и зубных рядов, пациента, после первичного осмотра необходимо заполнить зубную формулу, (зубная формула, это краткое и точное отображение состояния зубов и зубных рядов выраженное условными обозначениями). Данные фиксируют буквенными символами (сокращениями) и цифрами. </w:t>
      </w:r>
      <w:r>
        <w:rPr>
          <w:color w:val="000000"/>
        </w:rPr>
        <w:lastRenderedPageBreak/>
        <w:t>Буквенными символами (сокращениями</w:t>
      </w:r>
      <w:proofErr w:type="gramStart"/>
      <w:r>
        <w:rPr>
          <w:color w:val="000000"/>
        </w:rPr>
        <w:t>)о</w:t>
      </w:r>
      <w:proofErr w:type="gramEnd"/>
      <w:r>
        <w:rPr>
          <w:color w:val="000000"/>
        </w:rPr>
        <w:t>тмечается: патологическое состояние зуба (зубов), наличие имплантата, вкладки (</w:t>
      </w:r>
      <w:proofErr w:type="spellStart"/>
      <w:r>
        <w:rPr>
          <w:color w:val="000000"/>
        </w:rPr>
        <w:t>винира</w:t>
      </w:r>
      <w:proofErr w:type="spellEnd"/>
      <w:r>
        <w:rPr>
          <w:color w:val="000000"/>
        </w:rPr>
        <w:t xml:space="preserve">), искусственной коронки, искусственного зуба, пломбы, </w:t>
      </w:r>
      <w:proofErr w:type="spellStart"/>
      <w:r>
        <w:rPr>
          <w:color w:val="000000"/>
        </w:rPr>
        <w:t>некариозные</w:t>
      </w:r>
      <w:proofErr w:type="spellEnd"/>
      <w:r>
        <w:rPr>
          <w:color w:val="000000"/>
        </w:rPr>
        <w:t xml:space="preserve"> поражения и отсутствующие зубы. Степень подвижности зубов отмечается римскими цифрами. Важно: информация о наличии у пациента кариеса, пульпита, периодонтита заносится в формулу после подтверждения диагноза.</w:t>
      </w:r>
    </w:p>
    <w:p w:rsidR="003610F9" w:rsidRDefault="003610F9" w:rsidP="003610F9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 xml:space="preserve">28. В п. 22 указывается  тип взаимоотношений зубных рядов  в состоянии окклюзии (прикус) – патологический, физиологический, </w:t>
      </w:r>
      <w:proofErr w:type="spellStart"/>
      <w:r>
        <w:rPr>
          <w:color w:val="000000"/>
        </w:rPr>
        <w:t>аномалийный</w:t>
      </w:r>
      <w:proofErr w:type="spellEnd"/>
      <w:r>
        <w:rPr>
          <w:color w:val="000000"/>
        </w:rPr>
        <w:t xml:space="preserve"> (аномальный).</w:t>
      </w:r>
    </w:p>
    <w:p w:rsidR="003610F9" w:rsidRDefault="003610F9" w:rsidP="003610F9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 xml:space="preserve">29. В п. 23 отражается индекс гигиены. </w:t>
      </w:r>
    </w:p>
    <w:p w:rsidR="003610F9" w:rsidRDefault="003610F9" w:rsidP="003610F9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30. В п. 24 фиксируется индекс КПУ.</w:t>
      </w:r>
    </w:p>
    <w:p w:rsidR="003610F9" w:rsidRDefault="003610F9" w:rsidP="003610F9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31. В п. 25 указывается предварительный диагноз по МКБ-10.</w:t>
      </w:r>
    </w:p>
    <w:p w:rsidR="003610F9" w:rsidRDefault="003610F9" w:rsidP="003610F9">
      <w:pPr>
        <w:shd w:val="clear" w:color="auto" w:fill="FFFFFF"/>
        <w:ind w:firstLine="567"/>
        <w:jc w:val="both"/>
        <w:rPr>
          <w:color w:val="000000"/>
        </w:rPr>
      </w:pPr>
      <w:r>
        <w:rPr>
          <w:color w:val="000000"/>
        </w:rPr>
        <w:t>Предварительный диагноз, формулируется непосредственно при обращении пациента за медицинской помощью на основании данных, полученных до начала систематического обследования пациента, он необходим для разработки плана обследования и начальных этапов лечения.</w:t>
      </w:r>
    </w:p>
    <w:p w:rsidR="003610F9" w:rsidRDefault="003610F9" w:rsidP="003610F9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hd w:val="clear" w:color="auto" w:fill="FFFFFF"/>
        </w:rPr>
      </w:pPr>
      <w:r>
        <w:rPr>
          <w:color w:val="000000"/>
        </w:rPr>
        <w:t>Диагноз формулируется только по заболеваниям зубов, пародонта, слизистой оболочки рта, языка, слюнных желез, челюстей, а также стоматологическим заболеваниям лица и головы в терминах, обозначающих названия болезней (травм), их формы, варианты течения и т. п. предусмотренных действующей классификацией болезней</w:t>
      </w:r>
      <w:r>
        <w:t>.</w:t>
      </w:r>
    </w:p>
    <w:p w:rsidR="003610F9" w:rsidRDefault="003610F9" w:rsidP="003610F9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 xml:space="preserve">32. В п. 26 составляется план обследования  с учетом предварительного диагноза. План обследования включает: </w:t>
      </w:r>
      <w:proofErr w:type="spellStart"/>
      <w:r>
        <w:rPr>
          <w:color w:val="000000"/>
        </w:rPr>
        <w:t>физикальные</w:t>
      </w:r>
      <w:proofErr w:type="spellEnd"/>
      <w:r>
        <w:rPr>
          <w:color w:val="000000"/>
        </w:rPr>
        <w:t>, инструментальные, рентгенологические, лабораторные и иные методы диагностики и исследования для уточнения диагноза. При необходимости, важно предусмотреть консультацию врача-специалиста.</w:t>
      </w:r>
    </w:p>
    <w:p w:rsidR="003610F9" w:rsidRDefault="003610F9" w:rsidP="003610F9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i/>
          <w:color w:val="000000"/>
        </w:rPr>
      </w:pPr>
      <w:r>
        <w:rPr>
          <w:color w:val="000000"/>
        </w:rPr>
        <w:t xml:space="preserve">33. В п. 27 фиксируются результаты, полученные после проведения дополнительного клинического обследования. Интерпретируются данные рентгенологических исследований. Данные учета дозовых нагрузок, после проведения рентгенологических исследований, записываются в утвержденную форму. </w:t>
      </w:r>
      <w:r>
        <w:rPr>
          <w:i/>
          <w:color w:val="000000"/>
        </w:rPr>
        <w:t>( Постановление Главного государственного санитарного врача РФ от 18.02.2003 № 8 «О введении в действие СанПиН 2.6.1192-03» приложение №4)</w:t>
      </w:r>
    </w:p>
    <w:p w:rsidR="003610F9" w:rsidRDefault="003610F9" w:rsidP="003610F9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34. В п. 28 указывается клинический диагноз  по МКБ-10.</w:t>
      </w:r>
    </w:p>
    <w:p w:rsidR="003610F9" w:rsidRDefault="003610F9" w:rsidP="003610F9">
      <w:pPr>
        <w:shd w:val="clear" w:color="auto" w:fill="FFFFFF"/>
        <w:ind w:firstLine="567"/>
        <w:jc w:val="both"/>
        <w:rPr>
          <w:color w:val="000000"/>
        </w:rPr>
      </w:pPr>
      <w:r>
        <w:rPr>
          <w:color w:val="000000"/>
        </w:rPr>
        <w:t>Клинический диагноз формулируется на основании данных, полученных при сборе жалоб, анамнеза, объективного исследования больного, а также результатов проведенного дополнительного клинического обследования.</w:t>
      </w:r>
    </w:p>
    <w:p w:rsidR="003610F9" w:rsidRDefault="003610F9" w:rsidP="003610F9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proofErr w:type="gramStart"/>
      <w:r>
        <w:rPr>
          <w:color w:val="000000"/>
        </w:rPr>
        <w:t>В нем так же, как и в предварительном, но более полно и точно выделяют основное заболевание, сопутствующие заболевания, осложнения.</w:t>
      </w:r>
      <w:proofErr w:type="gramEnd"/>
    </w:p>
    <w:p w:rsidR="003610F9" w:rsidRDefault="003610F9" w:rsidP="003610F9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35. В п. 29 составляется план лечения.</w:t>
      </w:r>
    </w:p>
    <w:p w:rsidR="003610F9" w:rsidRDefault="003610F9" w:rsidP="003610F9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 xml:space="preserve">36. В п. 30 записывается  информация о проведенном лечении, включая рекомендации. </w:t>
      </w:r>
    </w:p>
    <w:p w:rsidR="003610F9" w:rsidRDefault="003610F9" w:rsidP="003610F9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b/>
        </w:rPr>
      </w:pPr>
      <w:r>
        <w:rPr>
          <w:color w:val="000000"/>
        </w:rPr>
        <w:t xml:space="preserve">После завершения лечения или на определенном его этапе врач может оформить эпикриз. Эпикриз оформляется в случае выбытия пациента из района обслуживания медицинской организации, при переводе в другую медицинскую организацию, при смене врача и прочее. Эпикриз может быть направлен в другую медицинскую организацию или выдан на </w:t>
      </w:r>
      <w:r>
        <w:rPr>
          <w:color w:val="000000"/>
          <w:u w:val="single"/>
        </w:rPr>
        <w:t xml:space="preserve">руки пациенту. </w:t>
      </w:r>
      <w:r>
        <w:rPr>
          <w:b/>
          <w:u w:val="single"/>
        </w:rPr>
        <w:t>_________________________________</w:t>
      </w:r>
    </w:p>
    <w:p w:rsidR="003610F9" w:rsidRDefault="003610F9" w:rsidP="003610F9">
      <w:pPr>
        <w:pStyle w:val="s1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*(1) Указ Президента Российской Федерации от 13.03.1997 № 232 "Об основном документе, удостоверяющем личность гражданина Российской Федерации на территории Российской Федерации" (Собрание законодательства Российской Федерации, 1997, № 11, ст. 1301). </w:t>
      </w:r>
    </w:p>
    <w:p w:rsidR="003610F9" w:rsidRDefault="003610F9" w:rsidP="003610F9">
      <w:pPr>
        <w:pStyle w:val="s1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*(2) Постановление Правительства Российской Федерации от 18.08.2008 № 628 "О </w:t>
      </w:r>
      <w:proofErr w:type="gramStart"/>
      <w:r>
        <w:rPr>
          <w:sz w:val="20"/>
          <w:szCs w:val="20"/>
        </w:rPr>
        <w:t>Положении</w:t>
      </w:r>
      <w:proofErr w:type="gramEnd"/>
      <w:r>
        <w:rPr>
          <w:sz w:val="20"/>
          <w:szCs w:val="20"/>
        </w:rPr>
        <w:t xml:space="preserve"> об удостоверении личности моряка, Положении о мореходной книжке, образце и описании бланка мореходной книжки" (Собрание законодательства Российской Федерации, 2008, № 34, ст. 3937; 2009, № 23, ст. 2821; 2013, № 12, ст. 1347) </w:t>
      </w:r>
    </w:p>
    <w:p w:rsidR="003610F9" w:rsidRDefault="003610F9" w:rsidP="003610F9">
      <w:pPr>
        <w:pStyle w:val="s1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*(3) Постановление Правительства Российской Федерации от 12.02.2003 № 91 "Об удостоверении личности военнослужащего Российской Федерации" (Собрание законодательства Российской Федерации, 2003, № 7, ст. 654; 2006, № 49, ст. 5220). </w:t>
      </w:r>
    </w:p>
    <w:p w:rsidR="003610F9" w:rsidRDefault="003610F9" w:rsidP="003610F9">
      <w:pPr>
        <w:pStyle w:val="s1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*(4) Федеральный закон от 19.02.1993 № 4528-I "О беженцах" (Ведомости Съезда народных депутатов и Верховного Совета Российской Федерации, 1993, № 12, ст. 425; Собрание законодательства Российской </w:t>
      </w:r>
      <w:r>
        <w:rPr>
          <w:sz w:val="20"/>
          <w:szCs w:val="20"/>
        </w:rPr>
        <w:lastRenderedPageBreak/>
        <w:t xml:space="preserve">Федерации, 1997, № 26, ст. 2956; 1998, № 30, ст. 3613; 2000, № 33, ст. 3348; № 46, ст. 4537; 2003, № 27, ст. 2700; 2004, № 27, ст. 2711; № 35, ст. 3607;2006, № 31, ст. 3420; 2007, № 1, ст. 29; 2008, № 30, ст. 3616; 2011, № 1, ст. 29; № 27, ст. 3880; 2012, № 10, ст. 1166; № 47; ст. 6397; № 53, ст. 7647; 2013, № 27, ст. 3477; 2014, № 52, ст. 7557). </w:t>
      </w:r>
      <w:proofErr w:type="gramEnd"/>
    </w:p>
    <w:p w:rsidR="003610F9" w:rsidRDefault="003610F9" w:rsidP="003610F9">
      <w:pPr>
        <w:pStyle w:val="s1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*(5) статья 10 Федерального закона от 25.07.2002 № 115-ФЗ "О правовом положении иностранных граждан в Российской Федерации" (Собрание законодательства Российской Федерации, 2002, № 30, ст. 3032). </w:t>
      </w:r>
    </w:p>
    <w:p w:rsidR="003610F9" w:rsidRDefault="003610F9" w:rsidP="003610F9">
      <w:pPr>
        <w:pStyle w:val="s1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*(6) статья 6.1 Федерального закона от 17.07.1999 № 178-ФЗ "О государственной социальной помощи" (Собрание законодательства Российской Федерации, 1999, № 24, ст. 3699; 2004, № 35, ст. 3607). </w:t>
      </w:r>
    </w:p>
    <w:p w:rsidR="003610F9" w:rsidRDefault="003610F9" w:rsidP="003610F9">
      <w:pPr>
        <w:pStyle w:val="s1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*(7) Собрание законодательства Российской Федерации, 1995, № 3, ст. 168; 2002, № 48, ст. 4743; 2004, № 27, ст. 2711. </w:t>
      </w:r>
    </w:p>
    <w:p w:rsidR="00F2633B" w:rsidRDefault="00F2633B"/>
    <w:sectPr w:rsidR="00F263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4D4D"/>
    <w:rsid w:val="003610F9"/>
    <w:rsid w:val="006C4D4D"/>
    <w:rsid w:val="00F26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0F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610F9"/>
    <w:rPr>
      <w:color w:val="0000FF"/>
      <w:u w:val="single"/>
    </w:rPr>
  </w:style>
  <w:style w:type="character" w:customStyle="1" w:styleId="apple-converted-space">
    <w:name w:val="apple-converted-space"/>
    <w:rsid w:val="003610F9"/>
  </w:style>
  <w:style w:type="paragraph" w:customStyle="1" w:styleId="s1">
    <w:name w:val="s_1"/>
    <w:basedOn w:val="a"/>
    <w:rsid w:val="003610F9"/>
    <w:pPr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character" w:customStyle="1" w:styleId="s10">
    <w:name w:val="s_10"/>
    <w:rsid w:val="003610F9"/>
    <w:rPr>
      <w:rFonts w:cs="Times New Roman"/>
    </w:rPr>
  </w:style>
  <w:style w:type="paragraph" w:customStyle="1" w:styleId="s3">
    <w:name w:val="s_3"/>
    <w:basedOn w:val="a"/>
    <w:rsid w:val="003610F9"/>
    <w:pPr>
      <w:suppressAutoHyphens w:val="0"/>
      <w:spacing w:before="100" w:beforeAutospacing="1" w:after="100" w:afterAutospacing="1"/>
    </w:pPr>
    <w:rPr>
      <w:rFonts w:eastAsia="Calibr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0F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610F9"/>
    <w:rPr>
      <w:color w:val="0000FF"/>
      <w:u w:val="single"/>
    </w:rPr>
  </w:style>
  <w:style w:type="character" w:customStyle="1" w:styleId="apple-converted-space">
    <w:name w:val="apple-converted-space"/>
    <w:rsid w:val="003610F9"/>
  </w:style>
  <w:style w:type="paragraph" w:customStyle="1" w:styleId="s1">
    <w:name w:val="s_1"/>
    <w:basedOn w:val="a"/>
    <w:rsid w:val="003610F9"/>
    <w:pPr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character" w:customStyle="1" w:styleId="s10">
    <w:name w:val="s_10"/>
    <w:rsid w:val="003610F9"/>
    <w:rPr>
      <w:rFonts w:cs="Times New Roman"/>
    </w:rPr>
  </w:style>
  <w:style w:type="paragraph" w:customStyle="1" w:styleId="s3">
    <w:name w:val="s_3"/>
    <w:basedOn w:val="a"/>
    <w:rsid w:val="003610F9"/>
    <w:pPr>
      <w:suppressAutoHyphens w:val="0"/>
      <w:spacing w:before="100" w:beforeAutospacing="1" w:after="100" w:afterAutospacing="1"/>
    </w:pPr>
    <w:rPr>
      <w:rFonts w:eastAsia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70172996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ase.garant.ru/70407654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base.garant.ru/70172996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base.garant.ru/10103548/1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base.garant.ru/7017299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2217</Words>
  <Characters>12640</Characters>
  <Application>Microsoft Office Word</Application>
  <DocSecurity>0</DocSecurity>
  <Lines>105</Lines>
  <Paragraphs>29</Paragraphs>
  <ScaleCrop>false</ScaleCrop>
  <Company/>
  <LinksUpToDate>false</LinksUpToDate>
  <CharactersWithSpaces>14828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2</cp:revision>
  <dcterms:created xsi:type="dcterms:W3CDTF">2021-10-11T06:05:00Z</dcterms:created>
  <dcterms:modified xsi:type="dcterms:W3CDTF">2021-10-11T06:05:00Z</dcterms:modified>
</cp:coreProperties>
</file>