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77797ED">
      <w:pPr>
        <w:pStyle w:val="style0"/>
        <w:rPr>
          <w:rFonts w:ascii="Times New Roman" w:cs="Times New Roman" w:eastAsia="Times New Roman" w:hAnsi="Times New Roman"/>
          <w:b/>
          <w:color w:val="000000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lang w:eastAsia="ru-RU"/>
        </w:rPr>
        <w:t>Цифровой горизонт</w:t>
      </w:r>
      <w:r>
        <w:rPr>
          <w:rFonts w:ascii="Times New Roman" w:cs="Times New Roman" w:eastAsia="Times New Roman" w:hAnsi="Times New Roman"/>
          <w:b/>
          <w:color w:val="000000"/>
          <w:lang w:eastAsia="ru-RU"/>
        </w:rPr>
        <w:t xml:space="preserve">: </w:t>
      </w:r>
      <w:r>
        <w:rPr>
          <w:rFonts w:ascii="Times New Roman" w:cs="Times New Roman" w:eastAsia="Times New Roman" w:hAnsi="Times New Roman"/>
          <w:b/>
          <w:color w:val="000000"/>
          <w:lang w:eastAsia="ru-RU"/>
        </w:rPr>
        <w:t>территория исскуственного интеллекта</w:t>
      </w:r>
    </w:p>
    <w:p w14:paraId="3D592AFB">
      <w:pPr>
        <w:pStyle w:val="style0"/>
        <w:rPr>
          <w:rFonts w:ascii="Times New Roman" w:cs="Times New Roman" w:eastAsia="Times New Roman" w:hAnsi="Times New Roman"/>
          <w:b/>
          <w:color w:val="000000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lang w:eastAsia="ru-RU"/>
        </w:rPr>
        <w:t xml:space="preserve">Сетка мероприятий лектория стенда </w:t>
      </w:r>
      <w:r>
        <w:rPr>
          <w:rFonts w:ascii="Times New Roman" w:cs="Times New Roman" w:eastAsia="Times New Roman" w:hAnsi="Times New Roman"/>
          <w:b/>
          <w:color w:val="000000"/>
          <w:lang w:eastAsia="ru-RU"/>
        </w:rPr>
        <w:t>“</w:t>
      </w:r>
      <w:r>
        <w:rPr>
          <w:rFonts w:ascii="Times New Roman" w:cs="Times New Roman" w:eastAsia="Times New Roman" w:hAnsi="Times New Roman"/>
          <w:b/>
          <w:color w:val="000000"/>
          <w:lang w:eastAsia="ru-RU"/>
        </w:rPr>
        <w:t>Цифровые решения</w:t>
      </w:r>
      <w:r>
        <w:rPr>
          <w:rFonts w:ascii="Times New Roman" w:cs="Times New Roman" w:eastAsia="Times New Roman" w:hAnsi="Times New Roman"/>
          <w:b/>
          <w:color w:val="000000"/>
          <w:lang w:eastAsia="ru-RU"/>
        </w:rPr>
        <w:t>:</w:t>
      </w:r>
      <w:r>
        <w:rPr>
          <w:rFonts w:ascii="Times New Roman" w:cs="Times New Roman" w:eastAsia="Times New Roman" w:hAnsi="Times New Roman"/>
          <w:b/>
          <w:color w:val="000000"/>
          <w:lang w:eastAsia="ru-RU"/>
        </w:rPr>
        <w:t xml:space="preserve"> территория ИИ</w:t>
      </w:r>
      <w:r>
        <w:rPr>
          <w:rFonts w:ascii="Times New Roman" w:cs="Times New Roman" w:eastAsia="Times New Roman" w:hAnsi="Times New Roman"/>
          <w:b/>
          <w:color w:val="000000"/>
          <w:lang w:eastAsia="ru-RU"/>
        </w:rPr>
        <w:t>”</w:t>
      </w:r>
    </w:p>
    <w:p w14:paraId="D9B438D0">
      <w:pPr>
        <w:pStyle w:val="style0"/>
        <w:spacing w:after="0"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Лекторий</w:t>
      </w:r>
      <w:r>
        <w:rPr>
          <w:rFonts w:ascii="Times New Roman" w:hAnsi="Times New Roman"/>
          <w:sz w:val="24"/>
          <w:szCs w:val="24"/>
        </w:rPr>
        <w:t xml:space="preserve"> состоится 28 августа 2026 года с 09:</w:t>
      </w:r>
      <w:r>
        <w:rPr>
          <w:rFonts w:ascii="Times New Roman" w:hAnsi="Times New Roman"/>
          <w:sz w:val="24"/>
          <w:szCs w:val="24"/>
        </w:rPr>
        <w:t>45 по адресу: г. Новосибирск, ул. Станционная, 104, Павильон Б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стенд 220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лекторий.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892D168">
      <w:pPr>
        <w:pStyle w:val="style0"/>
        <w:spacing w:after="0" w:lineRule="auto" w:line="276"/>
        <w:jc w:val="both"/>
        <w:rPr>
          <w:rFonts w:ascii="Times New Roman" w:hAnsi="Times New Roman"/>
          <w:sz w:val="24"/>
          <w:szCs w:val="24"/>
        </w:rPr>
      </w:pPr>
    </w:p>
    <w:p w14:paraId="252F98C2">
      <w:pPr>
        <w:pStyle w:val="style0"/>
        <w:spacing w:after="0"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QR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code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обязательной регистрации</w:t>
      </w:r>
      <w:r>
        <w:rPr>
          <w:rFonts w:ascii="Times New Roman" w:hAnsi="Times New Roman"/>
          <w:sz w:val="24"/>
          <w:szCs w:val="24"/>
        </w:rPr>
        <w:t>:</w:t>
      </w:r>
    </w:p>
    <w:p w14:paraId="A05989FF"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  <w:lang w:eastAsia="ru-RU"/>
        </w:rPr>
        <w:drawing>
          <wp:inline distL="0" distT="0" distB="0" distR="0">
            <wp:extent cx="992643" cy="928800"/>
            <wp:effectExtent l="0" t="0" r="0" b="5080"/>
            <wp:docPr id="1026" name="Рисунок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92643" cy="9288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14:paraId="D4E01B07">
      <w:pPr>
        <w:pStyle w:val="style0"/>
        <w:rPr>
          <w:rFonts w:ascii="Times New Roman" w:cs="Times New Roman" w:eastAsia="Times New Roman" w:hAnsi="Times New Roman"/>
          <w:b/>
          <w:color w:val="000000"/>
          <w:lang w:eastAsia="ru-RU"/>
        </w:rPr>
      </w:pP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14:paraId="5C5EB303">
        <w:trPr>
          <w:jc w:val="center"/>
        </w:trPr>
        <w:tc>
          <w:tcPr>
            <w:tcW w:w="3115" w:type="dxa"/>
            <w:tcBorders/>
            <w:vAlign w:val="center"/>
          </w:tcPr>
          <w:p w14:paraId="1442C0C8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Время мероприятия</w:t>
            </w:r>
          </w:p>
        </w:tc>
        <w:tc>
          <w:tcPr>
            <w:tcW w:w="3115" w:type="dxa"/>
            <w:tcBorders/>
            <w:vAlign w:val="center"/>
          </w:tcPr>
          <w:p w14:paraId="02D4DE0E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Название мероприятия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формат</w:t>
            </w:r>
          </w:p>
        </w:tc>
        <w:tc>
          <w:tcPr>
            <w:tcW w:w="3115" w:type="dxa"/>
            <w:tcBorders/>
            <w:vAlign w:val="center"/>
          </w:tcPr>
          <w:p w14:paraId="D61E584E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Спикер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компания</w:t>
            </w:r>
          </w:p>
        </w:tc>
      </w:tr>
      <w:tr w14:paraId="276C5F22">
        <w:tblPrEx/>
        <w:trPr>
          <w:jc w:val="center"/>
        </w:trPr>
        <w:tc>
          <w:tcPr>
            <w:tcW w:w="3115" w:type="dxa"/>
            <w:tcBorders/>
            <w:vAlign w:val="center"/>
          </w:tcPr>
          <w:p w14:paraId="CBBBE5AC">
            <w:pPr>
              <w:pStyle w:val="style0"/>
              <w:jc w:val="center"/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9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:45 – 10:45</w:t>
            </w:r>
          </w:p>
        </w:tc>
        <w:tc>
          <w:tcPr>
            <w:tcW w:w="3115" w:type="dxa"/>
            <w:tcBorders/>
            <w:vAlign w:val="center"/>
          </w:tcPr>
          <w:p w14:paraId="6544867D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lang w:eastAsia="ru-RU"/>
              </w:rPr>
              <w:t>Доклад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>: Запретить нельзя использовать: как образовательной организации выстроить правила использования ИИ</w:t>
            </w:r>
          </w:p>
        </w:tc>
        <w:tc>
          <w:tcPr>
            <w:tcW w:w="3115" w:type="dxa"/>
            <w:tcBorders/>
            <w:vAlign w:val="center"/>
          </w:tcPr>
          <w:p w14:paraId="1F2B3F2A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Володина Юлия Михайловна, руководитель отдела по развитию, Нетология</w:t>
            </w:r>
          </w:p>
        </w:tc>
      </w:tr>
    </w:tbl>
    <w:p w14:paraId="6427C37C">
      <w:pPr>
        <w:pStyle w:val="style0"/>
        <w:rPr>
          <w:rFonts w:ascii="Times New Roman" w:cs="Times New Roman" w:eastAsia="Times New Roman" w:hAnsi="Times New Roman"/>
          <w:i/>
          <w:color w:val="000000"/>
          <w:lang w:eastAsia="ru-RU"/>
        </w:rPr>
      </w:pPr>
    </w:p>
    <w:p w14:paraId="FDEE0F1B">
      <w:pPr>
        <w:pStyle w:val="style0"/>
        <w:rPr>
          <w:i/>
        </w:rPr>
      </w:pPr>
      <w:r>
        <w:rPr>
          <w:rFonts w:ascii="Times New Roman" w:cs="Times New Roman" w:eastAsia="Times New Roman" w:hAnsi="Times New Roman"/>
          <w:i/>
          <w:color w:val="000000"/>
          <w:lang w:eastAsia="ru-RU"/>
        </w:rPr>
        <w:t>ИИ уже стал частью образовательной среды. Поэтому ключевой вопрос сегодня звучит не «разрешать или запрещать», а «по каким правилам и для каких задач его использовать».</w:t>
      </w: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14:paraId="C70AB057">
        <w:trPr>
          <w:jc w:val="center"/>
        </w:trPr>
        <w:tc>
          <w:tcPr>
            <w:tcW w:w="3115" w:type="dxa"/>
            <w:tcBorders/>
            <w:vAlign w:val="center"/>
          </w:tcPr>
          <w:p w14:paraId="35E05953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Время мероприятия</w:t>
            </w:r>
          </w:p>
        </w:tc>
        <w:tc>
          <w:tcPr>
            <w:tcW w:w="3115" w:type="dxa"/>
            <w:tcBorders/>
            <w:vAlign w:val="center"/>
          </w:tcPr>
          <w:p w14:paraId="3FBC6640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Название мероприятия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формат</w:t>
            </w:r>
          </w:p>
        </w:tc>
        <w:tc>
          <w:tcPr>
            <w:tcW w:w="3115" w:type="dxa"/>
            <w:tcBorders/>
            <w:vAlign w:val="center"/>
          </w:tcPr>
          <w:p w14:paraId="F8C8B905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Спикер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компания</w:t>
            </w:r>
          </w:p>
        </w:tc>
      </w:tr>
      <w:tr w14:paraId="07EEDDFE">
        <w:tblPrEx/>
        <w:trPr>
          <w:jc w:val="center"/>
        </w:trPr>
        <w:tc>
          <w:tcPr>
            <w:tcW w:w="3115" w:type="dxa"/>
            <w:tcBorders/>
            <w:vAlign w:val="center"/>
          </w:tcPr>
          <w:p w14:paraId="EDD092B7">
            <w:pPr>
              <w:pStyle w:val="style0"/>
              <w:jc w:val="center"/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11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00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 xml:space="preserve"> –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11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:45</w:t>
            </w:r>
          </w:p>
        </w:tc>
        <w:tc>
          <w:tcPr>
            <w:tcW w:w="3115" w:type="dxa"/>
            <w:tcBorders/>
            <w:vAlign w:val="center"/>
          </w:tcPr>
          <w:p w14:paraId="6938D4EF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lang w:eastAsia="ru-RU"/>
              </w:rPr>
              <w:t>Доклад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>Цифровое образование с использованием инструментов искусственного интеллекта</w:t>
            </w:r>
          </w:p>
        </w:tc>
        <w:tc>
          <w:tcPr>
            <w:tcW w:w="3115" w:type="dxa"/>
            <w:tcBorders/>
            <w:vAlign w:val="center"/>
          </w:tcPr>
          <w:p w14:paraId="1F5F5554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Миночкина Алёна Михайловна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руководитель направления по работе с государственным сектором компании Алгоритмика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эксперт федеральных проектов АНО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“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Цифровая экономика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”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, эксперт Агентства стратегических инициатив</w:t>
            </w:r>
          </w:p>
        </w:tc>
      </w:tr>
    </w:tbl>
    <w:p w14:paraId="A2377D0A">
      <w:pPr>
        <w:pStyle w:val="style0"/>
        <w:rPr>
          <w:rFonts w:ascii="Times New Roman" w:cs="Times New Roman" w:eastAsia="Times New Roman" w:hAnsi="Times New Roman"/>
          <w:b/>
          <w:lang w:eastAsia="ru-RU"/>
        </w:rPr>
      </w:pPr>
    </w:p>
    <w:p w14:paraId="1A8D677C">
      <w:pPr>
        <w:pStyle w:val="style0"/>
        <w:rPr>
          <w:rFonts w:ascii="Times New Roman" w:cs="Times New Roman" w:eastAsia="Times New Roman" w:hAnsi="Times New Roman"/>
          <w:b/>
          <w:i/>
          <w:lang w:eastAsia="ru-RU"/>
        </w:rPr>
      </w:pPr>
      <w:r>
        <w:rPr>
          <w:rFonts w:ascii="Times New Roman" w:cs="Times New Roman" w:eastAsia="Times New Roman" w:hAnsi="Times New Roman"/>
          <w:i/>
          <w:lang w:eastAsia="ru-RU"/>
        </w:rPr>
        <w:t xml:space="preserve">Сегодня мы живем в эпоху стремительной цифровой трансформации. Перед школами и регионами стоит сразу несколько амбициозных задач: подготовить детей к вызовам будущего, вырастить победителей олимпиад, обеспечить их </w:t>
      </w:r>
      <w:r>
        <w:rPr>
          <w:rFonts w:ascii="Times New Roman" w:cs="Times New Roman" w:eastAsia="Times New Roman" w:hAnsi="Times New Roman"/>
          <w:i/>
          <w:lang w:eastAsia="ru-RU"/>
        </w:rPr>
        <w:t>кибербезопасность</w:t>
      </w:r>
      <w:r>
        <w:rPr>
          <w:rFonts w:ascii="Times New Roman" w:cs="Times New Roman" w:eastAsia="Times New Roman" w:hAnsi="Times New Roman"/>
          <w:i/>
          <w:lang w:eastAsia="ru-RU"/>
        </w:rPr>
        <w:t xml:space="preserve"> и, что не менее важно, дать надежную опору нашим учителям. Именно для ответа на этот вопрос мы подготовили для вас комплексное решение </w:t>
      </w:r>
      <w:r>
        <w:rPr>
          <w:rFonts w:ascii="Times New Roman" w:cs="Times New Roman" w:eastAsia="Times New Roman" w:hAnsi="Times New Roman"/>
          <w:b/>
          <w:i/>
          <w:lang w:eastAsia="ru-RU"/>
        </w:rPr>
        <w:t>«Цифровое образование с искусственным интеллектом»</w:t>
      </w:r>
    </w:p>
    <w:p w14:paraId="6F3CD1C7">
      <w:pPr>
        <w:pStyle w:val="style0"/>
        <w:rPr>
          <w:rFonts w:ascii="Times New Roman" w:cs="Times New Roman" w:eastAsia="Times New Roman" w:hAnsi="Times New Roman"/>
          <w:b/>
          <w:i/>
          <w:lang w:eastAsia="ru-RU"/>
        </w:rPr>
      </w:pP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14:paraId="8497AF89">
        <w:trPr>
          <w:jc w:val="center"/>
        </w:trPr>
        <w:tc>
          <w:tcPr>
            <w:tcW w:w="3115" w:type="dxa"/>
            <w:tcBorders/>
            <w:vAlign w:val="center"/>
          </w:tcPr>
          <w:p w14:paraId="5EC60B0B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Время мероприятия</w:t>
            </w:r>
          </w:p>
        </w:tc>
        <w:tc>
          <w:tcPr>
            <w:tcW w:w="3115" w:type="dxa"/>
            <w:tcBorders/>
            <w:vAlign w:val="center"/>
          </w:tcPr>
          <w:p w14:paraId="3AA79AC8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Название мероприятия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формат</w:t>
            </w:r>
          </w:p>
        </w:tc>
        <w:tc>
          <w:tcPr>
            <w:tcW w:w="3115" w:type="dxa"/>
            <w:tcBorders/>
            <w:vAlign w:val="center"/>
          </w:tcPr>
          <w:p w14:paraId="554367C2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Спикер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компания</w:t>
            </w:r>
          </w:p>
        </w:tc>
      </w:tr>
      <w:tr w14:paraId="BB5B03C6">
        <w:tblPrEx/>
        <w:trPr>
          <w:jc w:val="center"/>
        </w:trPr>
        <w:tc>
          <w:tcPr>
            <w:tcW w:w="3115" w:type="dxa"/>
            <w:tcBorders/>
            <w:vAlign w:val="center"/>
          </w:tcPr>
          <w:p w14:paraId="C8E48BBE">
            <w:pPr>
              <w:pStyle w:val="style0"/>
              <w:jc w:val="center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12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00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 xml:space="preserve"> –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13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3115" w:type="dxa"/>
            <w:tcBorders/>
            <w:vAlign w:val="center"/>
          </w:tcPr>
          <w:p w14:paraId="7EEBF9A7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lang w:eastAsia="ru-RU"/>
              </w:rPr>
              <w:t>Доклад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>Цифровой образовательный контент Фоксфорд</w:t>
            </w:r>
          </w:p>
        </w:tc>
        <w:tc>
          <w:tcPr>
            <w:tcW w:w="3115" w:type="dxa"/>
            <w:tcBorders/>
            <w:vAlign w:val="center"/>
          </w:tcPr>
          <w:p w14:paraId="6AA49CBF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Миночкина Алёна Михайловна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руководитель направления по работе с государственным сектором компании Алгоритмика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эксперт федеральных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проектов АНО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“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Цифровая экономика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”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, эксперт Агентства стратегических инициатив</w:t>
            </w:r>
          </w:p>
        </w:tc>
      </w:tr>
    </w:tbl>
    <w:p w14:paraId="9D504338">
      <w:pPr>
        <w:pStyle w:val="style0"/>
        <w:rPr>
          <w:rFonts w:ascii="Times New Roman" w:cs="Times New Roman" w:eastAsia="Times New Roman" w:hAnsi="Times New Roman"/>
          <w:b/>
          <w:i/>
          <w:lang w:eastAsia="ru-RU"/>
        </w:rPr>
      </w:pPr>
    </w:p>
    <w:p w14:paraId="3A0B5F1E">
      <w:pPr>
        <w:pStyle w:val="style0"/>
        <w:rPr>
          <w:rFonts w:ascii="Times New Roman" w:cs="Times New Roman" w:eastAsia="Times New Roman" w:hAnsi="Times New Roman"/>
          <w:i/>
          <w:lang w:eastAsia="ru-RU"/>
        </w:rPr>
      </w:pPr>
      <w:r>
        <w:rPr>
          <w:rFonts w:ascii="Times New Roman" w:cs="Times New Roman" w:eastAsia="Times New Roman" w:hAnsi="Times New Roman"/>
          <w:i/>
          <w:lang w:eastAsia="ru-RU"/>
        </w:rPr>
        <w:t>Цифровизация образования — это не просто перенос учебника на экран. Современный образовательный контент становится интерактивным, гибким и способен адаптироваться к различным сценариям обучения.</w:t>
      </w:r>
      <w:r>
        <w:rPr>
          <w:rFonts w:ascii="Times New Roman" w:cs="Times New Roman" w:eastAsia="Times New Roman" w:hAnsi="Times New Roman"/>
          <w:b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i/>
          <w:lang w:eastAsia="ru-RU"/>
        </w:rPr>
        <w:t>«Фоксфорд», крупнейшая онлайн-школа России и единая библиотека цифрового образовательного контента.</w:t>
      </w:r>
      <w:r>
        <w:rPr>
          <w:rFonts w:ascii="Times New Roman" w:cs="Times New Roman" w:eastAsia="Times New Roman" w:hAnsi="Times New Roman"/>
          <w:i/>
          <w:lang w:eastAsia="ru-RU"/>
        </w:rPr>
        <w:br/>
      </w:r>
      <w:r>
        <w:rPr>
          <w:rFonts w:ascii="Times New Roman" w:cs="Times New Roman" w:eastAsia="Times New Roman" w:hAnsi="Times New Roman"/>
          <w:i/>
          <w:lang w:eastAsia="ru-RU"/>
        </w:rPr>
        <w:t>«Фоксфорд»</w:t>
      </w:r>
      <w:r>
        <w:rPr>
          <w:rFonts w:ascii="Times New Roman" w:cs="Times New Roman" w:eastAsia="Times New Roman" w:hAnsi="Times New Roman"/>
          <w:i/>
          <w:lang w:eastAsia="ru-RU"/>
        </w:rPr>
        <w:t xml:space="preserve"> - э</w:t>
      </w:r>
      <w:r>
        <w:rPr>
          <w:rFonts w:ascii="Times New Roman" w:cs="Times New Roman" w:eastAsia="Times New Roman" w:hAnsi="Times New Roman"/>
          <w:i/>
          <w:lang w:eastAsia="ru-RU"/>
        </w:rPr>
        <w:t xml:space="preserve">то масштабный государственный проект, созданный для обеспечения равного и бесплатного доступа к качественному образованию по всей стране. Сегодня «Фоксфорд» занимает первое место в рейтинге </w:t>
      </w:r>
      <w:r>
        <w:rPr>
          <w:rFonts w:ascii="Times New Roman" w:cs="Times New Roman" w:eastAsia="Times New Roman" w:hAnsi="Times New Roman"/>
          <w:i/>
          <w:lang w:eastAsia="ru-RU"/>
        </w:rPr>
        <w:t>EdTech</w:t>
      </w:r>
      <w:r>
        <w:rPr>
          <w:rFonts w:ascii="Times New Roman" w:cs="Times New Roman" w:eastAsia="Times New Roman" w:hAnsi="Times New Roman"/>
          <w:i/>
          <w:lang w:eastAsia="ru-RU"/>
        </w:rPr>
        <w:t>-компаний России, объединяя более 165 тыся</w:t>
      </w:r>
      <w:r>
        <w:rPr>
          <w:rFonts w:ascii="Times New Roman" w:cs="Times New Roman" w:eastAsia="Times New Roman" w:hAnsi="Times New Roman"/>
          <w:i/>
          <w:lang w:eastAsia="ru-RU"/>
        </w:rPr>
        <w:t xml:space="preserve">ч учеников и 4 тысяч педагогов. </w:t>
      </w:r>
      <w:r>
        <w:rPr>
          <w:rFonts w:ascii="Times New Roman" w:cs="Times New Roman" w:eastAsia="Times New Roman" w:hAnsi="Times New Roman"/>
          <w:i/>
          <w:lang w:eastAsia="ru-RU"/>
        </w:rPr>
        <w:t xml:space="preserve">Проект работает в экосистеме «Моя школа», а единая точка входа для учителей и родителей реализована через портал </w:t>
      </w:r>
      <w:r>
        <w:rPr>
          <w:rFonts w:ascii="Times New Roman" w:cs="Times New Roman" w:eastAsia="Times New Roman" w:hAnsi="Times New Roman"/>
          <w:i/>
          <w:lang w:eastAsia="ru-RU"/>
        </w:rPr>
        <w:t>Госуслуг</w:t>
      </w:r>
      <w:r>
        <w:rPr>
          <w:rFonts w:ascii="Times New Roman" w:cs="Times New Roman" w:eastAsia="Times New Roman" w:hAnsi="Times New Roman"/>
          <w:i/>
          <w:lang w:eastAsia="ru-RU"/>
        </w:rPr>
        <w:t>.</w:t>
      </w:r>
    </w:p>
    <w:p w14:paraId="A0B5F57A">
      <w:pPr>
        <w:pStyle w:val="style0"/>
        <w:rPr>
          <w:rFonts w:ascii="Times New Roman" w:cs="Times New Roman" w:eastAsia="Times New Roman" w:hAnsi="Times New Roman"/>
          <w:i/>
          <w:lang w:eastAsia="ru-RU"/>
        </w:rPr>
      </w:pP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14:paraId="41D67542">
        <w:trPr>
          <w:jc w:val="center"/>
        </w:trPr>
        <w:tc>
          <w:tcPr>
            <w:tcW w:w="3115" w:type="dxa"/>
            <w:tcBorders/>
            <w:vAlign w:val="center"/>
          </w:tcPr>
          <w:p w14:paraId="824C27A1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Время мероприятия</w:t>
            </w:r>
          </w:p>
        </w:tc>
        <w:tc>
          <w:tcPr>
            <w:tcW w:w="3115" w:type="dxa"/>
            <w:tcBorders/>
            <w:vAlign w:val="center"/>
          </w:tcPr>
          <w:p w14:paraId="C355E1BD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Название мероприятия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формат</w:t>
            </w:r>
          </w:p>
        </w:tc>
        <w:tc>
          <w:tcPr>
            <w:tcW w:w="3115" w:type="dxa"/>
            <w:tcBorders/>
            <w:vAlign w:val="center"/>
          </w:tcPr>
          <w:p w14:paraId="A30AD0B6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Спикер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компания</w:t>
            </w:r>
          </w:p>
        </w:tc>
      </w:tr>
      <w:tr w14:paraId="E53611F7">
        <w:tblPrEx/>
        <w:trPr>
          <w:jc w:val="center"/>
        </w:trPr>
        <w:tc>
          <w:tcPr>
            <w:tcW w:w="3115" w:type="dxa"/>
            <w:tcBorders/>
            <w:vAlign w:val="center"/>
          </w:tcPr>
          <w:p w14:paraId="3558E6C8">
            <w:pPr>
              <w:pStyle w:val="style0"/>
              <w:jc w:val="center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4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00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 xml:space="preserve"> –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14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3115" w:type="dxa"/>
            <w:tcBorders/>
            <w:vAlign w:val="center"/>
          </w:tcPr>
          <w:p w14:paraId="A92D5361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lang w:eastAsia="ru-RU"/>
              </w:rPr>
              <w:t>Доклад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>Цифровые финансовые активы и крптовалюта</w:t>
            </w:r>
          </w:p>
        </w:tc>
        <w:tc>
          <w:tcPr>
            <w:tcW w:w="3115" w:type="dxa"/>
            <w:tcBorders/>
            <w:vAlign w:val="center"/>
          </w:tcPr>
          <w:p w14:paraId="0F691E2C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Борисов Станислав Викторович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руководитель направления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аналитики по криптовалютным рынка Аналитического управления ПАО Сбербанк</w:t>
            </w:r>
          </w:p>
        </w:tc>
      </w:tr>
    </w:tbl>
    <w:p w14:paraId="3956E308">
      <w:pPr>
        <w:pStyle w:val="style0"/>
        <w:rPr>
          <w:rFonts w:ascii="Times New Roman" w:cs="Times New Roman" w:eastAsia="Times New Roman" w:hAnsi="Times New Roman"/>
          <w:lang w:eastAsia="ru-RU"/>
        </w:rPr>
      </w:pPr>
    </w:p>
    <w:p w14:paraId="ACFF7EA2">
      <w:pPr>
        <w:pStyle w:val="style0"/>
        <w:rPr>
          <w:rFonts w:ascii="Times New Roman" w:cs="Times New Roman" w:eastAsia="Times New Roman" w:hAnsi="Times New Roman"/>
          <w:i/>
          <w:lang w:eastAsia="ru-RU"/>
        </w:rPr>
      </w:pPr>
      <w:r>
        <w:rPr>
          <w:rFonts w:ascii="Times New Roman" w:cs="Times New Roman" w:eastAsia="Times New Roman" w:hAnsi="Times New Roman"/>
          <w:i/>
          <w:lang w:eastAsia="ru-RU"/>
        </w:rPr>
        <w:t>Цифровые активы уже стали самостоятельной частью финансового рынка. При этом за одним термином часто скрываются совершенно разные инструменты — с разной экономикой, применением и уровнем риска.</w:t>
      </w:r>
      <w:r>
        <w:rPr>
          <w:rFonts w:ascii="Times New Roman" w:cs="Times New Roman" w:eastAsia="Times New Roman" w:hAnsi="Times New Roman"/>
          <w:i/>
          <w:lang w:eastAsia="ru-RU"/>
        </w:rPr>
        <w:t xml:space="preserve"> </w:t>
      </w:r>
    </w:p>
    <w:p w14:paraId="52C42FBC">
      <w:pPr>
        <w:pStyle w:val="style0"/>
        <w:rPr>
          <w:rFonts w:ascii="Times New Roman" w:cs="Times New Roman" w:eastAsia="Times New Roman" w:hAnsi="Times New Roman"/>
          <w:i/>
          <w:lang w:eastAsia="ru-RU"/>
        </w:rPr>
      </w:pPr>
      <w:r>
        <w:rPr>
          <w:rFonts w:ascii="Times New Roman" w:cs="Times New Roman" w:eastAsia="Times New Roman" w:hAnsi="Times New Roman"/>
          <w:b/>
          <w:lang w:eastAsia="ru-RU"/>
        </w:rPr>
        <w:t>Инсайтами</w:t>
      </w:r>
      <w:r>
        <w:rPr>
          <w:rFonts w:ascii="Times New Roman" w:cs="Times New Roman" w:eastAsia="Times New Roman" w:hAnsi="Times New Roman"/>
          <w:b/>
          <w:lang w:eastAsia="ru-RU"/>
        </w:rPr>
        <w:t xml:space="preserve"> в сфере Цифровых финансовых активов и </w:t>
      </w:r>
      <w:r>
        <w:rPr>
          <w:rFonts w:ascii="Times New Roman" w:cs="Times New Roman" w:eastAsia="Times New Roman" w:hAnsi="Times New Roman"/>
          <w:b/>
          <w:lang w:eastAsia="ru-RU"/>
        </w:rPr>
        <w:t>криптовалюте</w:t>
      </w:r>
      <w:r>
        <w:rPr>
          <w:rFonts w:ascii="Times New Roman" w:cs="Times New Roman" w:eastAsia="Times New Roman" w:hAnsi="Times New Roman"/>
          <w:b/>
          <w:lang w:eastAsia="ru-RU"/>
        </w:rPr>
        <w:t xml:space="preserve"> поделится</w:t>
      </w:r>
      <w:r>
        <w:rPr>
          <w:rFonts w:ascii="Times New Roman" w:cs="Times New Roman" w:eastAsia="Times New Roman" w:hAnsi="Times New Roman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lang w:eastAsia="ru-RU"/>
        </w:rPr>
        <w:t>Борисов Станислав Викторович, руководитель направления, аналитик по криптовалютным рынкам Аналитического управления ПАО Сбербанк</w:t>
      </w:r>
    </w:p>
    <w:p w14:paraId="BD3D4ED6">
      <w:pPr>
        <w:pStyle w:val="style0"/>
        <w:rPr>
          <w:rFonts w:ascii="Times New Roman" w:cs="Times New Roman" w:eastAsia="Times New Roman" w:hAnsi="Times New Roman"/>
          <w:i/>
          <w:lang w:eastAsia="ru-RU"/>
        </w:rPr>
      </w:pP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14:paraId="B6206000">
        <w:trPr>
          <w:jc w:val="center"/>
        </w:trPr>
        <w:tc>
          <w:tcPr>
            <w:tcW w:w="3115" w:type="dxa"/>
            <w:tcBorders/>
            <w:vAlign w:val="center"/>
          </w:tcPr>
          <w:p w14:paraId="8C9DC09E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Время мероприятия</w:t>
            </w:r>
          </w:p>
        </w:tc>
        <w:tc>
          <w:tcPr>
            <w:tcW w:w="3115" w:type="dxa"/>
            <w:tcBorders/>
            <w:vAlign w:val="center"/>
          </w:tcPr>
          <w:p w14:paraId="B96A7F83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Название мероприятия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формат</w:t>
            </w:r>
          </w:p>
        </w:tc>
        <w:tc>
          <w:tcPr>
            <w:tcW w:w="3115" w:type="dxa"/>
            <w:tcBorders/>
            <w:vAlign w:val="center"/>
          </w:tcPr>
          <w:p w14:paraId="10EF4C4E"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Спикер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lang w:eastAsia="ru-RU"/>
              </w:rPr>
              <w:t>компания</w:t>
            </w:r>
          </w:p>
        </w:tc>
      </w:tr>
      <w:tr w14:paraId="91A9B50D">
        <w:tblPrEx/>
        <w:trPr>
          <w:jc w:val="center"/>
        </w:trPr>
        <w:tc>
          <w:tcPr>
            <w:tcW w:w="3115" w:type="dxa"/>
            <w:tcBorders/>
            <w:vAlign w:val="center"/>
          </w:tcPr>
          <w:p w14:paraId="C0A69AAA">
            <w:pPr>
              <w:pStyle w:val="style0"/>
              <w:jc w:val="center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5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00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 xml:space="preserve"> –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1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5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3115" w:type="dxa"/>
            <w:tcBorders/>
            <w:vAlign w:val="center"/>
          </w:tcPr>
          <w:p w14:paraId="AB07DB07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lang w:eastAsia="ru-RU"/>
              </w:rPr>
              <w:t>Доклад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lang w:eastAsia="ru-RU"/>
              </w:rPr>
              <w:t>Управление знаниями организации в эпоху ИИ</w:t>
            </w:r>
          </w:p>
        </w:tc>
        <w:tc>
          <w:tcPr>
            <w:tcW w:w="3115" w:type="dxa"/>
            <w:tcBorders/>
            <w:vAlign w:val="center"/>
          </w:tcPr>
          <w:p w14:paraId="62BA085D">
            <w:pPr>
              <w:pStyle w:val="style0"/>
              <w:rPr>
                <w:rFonts w:ascii="Times New Roman" w:cs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Константин Ушенин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ведущий научный сотрудник </w:t>
            </w:r>
            <w:r>
              <w:rPr>
                <w:rFonts w:ascii="Times New Roman" w:cs="Times New Roman" w:eastAsia="Times New Roman" w:hAnsi="Times New Roman"/>
                <w:color w:val="000000"/>
                <w:lang w:val="en-US" w:eastAsia="ru-RU"/>
              </w:rPr>
              <w:t>AIRI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ТГУ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кандидат физико-математических наук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000000"/>
                <w:lang w:eastAsia="ru-RU"/>
              </w:rPr>
              <w:t>доцент Уральского федерального университета</w:t>
            </w:r>
          </w:p>
        </w:tc>
      </w:tr>
    </w:tbl>
    <w:p w14:paraId="6E37F0CF">
      <w:pPr>
        <w:pStyle w:val="style0"/>
        <w:rPr>
          <w:rFonts w:ascii="Times New Roman" w:cs="Times New Roman" w:eastAsia="Times New Roman" w:hAnsi="Times New Roman"/>
          <w:lang w:eastAsia="ru-RU"/>
        </w:rPr>
      </w:pPr>
    </w:p>
    <w:p w14:paraId="6A72D1BA">
      <w:pPr>
        <w:pStyle w:val="style0"/>
        <w:rPr>
          <w:rFonts w:ascii="Times New Roman" w:cs="Times New Roman" w:eastAsia="Times New Roman" w:hAnsi="Times New Roman"/>
          <w:i/>
          <w:lang w:eastAsia="ru-RU"/>
        </w:rPr>
      </w:pPr>
      <w:r>
        <w:rPr>
          <w:rFonts w:ascii="Times New Roman" w:cs="Times New Roman" w:eastAsia="Times New Roman" w:hAnsi="Times New Roman"/>
          <w:i/>
          <w:lang w:eastAsia="ru-RU"/>
        </w:rPr>
        <w:t>Один из наиболее ценных активов любой организации — ее накопленные знания. ИИ позволяет принципиально изменить способ работы с ними: не просто хранить информацию, а быстро находить и использовать ее непосредственно в рабочих процессах.</w:t>
      </w:r>
    </w:p>
    <w:p w14:paraId="7254F2CF">
      <w:pPr>
        <w:pStyle w:val="style0"/>
        <w:rPr>
          <w:rFonts w:ascii="Times New Roman" w:cs="Times New Roman" w:eastAsia="Times New Roman" w:hAnsi="Times New Roman"/>
          <w:b/>
          <w:lang w:eastAsia="ru-RU"/>
        </w:rPr>
      </w:pPr>
      <w:r>
        <w:rPr>
          <w:rFonts w:ascii="Times New Roman" w:cs="Times New Roman" w:eastAsia="Times New Roman" w:hAnsi="Times New Roman"/>
          <w:b/>
          <w:lang w:eastAsia="ru-RU"/>
        </w:rPr>
        <w:t xml:space="preserve">Как управлять </w:t>
      </w:r>
      <w:r>
        <w:rPr>
          <w:rFonts w:ascii="Times New Roman" w:cs="Times New Roman" w:eastAsia="Times New Roman" w:hAnsi="Times New Roman"/>
          <w:b/>
          <w:lang w:eastAsia="ru-RU"/>
        </w:rPr>
        <w:t>знаниями организации в эпоху ИИ</w:t>
      </w:r>
      <w:r>
        <w:rPr>
          <w:rFonts w:ascii="Times New Roman" w:cs="Times New Roman" w:eastAsia="Times New Roman" w:hAnsi="Times New Roman"/>
          <w:b/>
          <w:lang w:eastAsia="ru-RU"/>
        </w:rPr>
        <w:t xml:space="preserve"> расскажет</w:t>
      </w:r>
      <w:r>
        <w:rPr>
          <w:rFonts w:ascii="Times New Roman" w:cs="Times New Roman" w:eastAsia="Times New Roman" w:hAnsi="Times New Roman"/>
          <w:b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lang w:eastAsia="ru-RU"/>
        </w:rPr>
        <w:t>Константин Ушенин, ведущий научный сотрудник AIRI, ТГУ, кандидат физико-математических наук, доцент Уральского федерального университета</w:t>
      </w:r>
    </w:p>
    <w:p w14:paraId="31E358F0">
      <w:pPr>
        <w:pStyle w:val="style0"/>
        <w:rPr>
          <w:rFonts w:ascii="Times New Roman" w:cs="Times New Roman" w:eastAsia="Times New Roman" w:hAnsi="Times New Roman"/>
          <w:lang w:eastAsia="ru-RU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2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Words>474</Words>
  <Pages>2</Pages>
  <Characters>3415</Characters>
  <Application>WPS Office</Application>
  <DocSecurity>0</DocSecurity>
  <Paragraphs>63</Paragraphs>
  <ScaleCrop>false</ScaleCrop>
  <Company>ПАО Сбербанк России</Company>
  <LinksUpToDate>false</LinksUpToDate>
  <CharactersWithSpaces>3850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2026-08-25T08:28:00Z</dcterms:created>
  <dc:creator>Ибрагимов Фарходжон Наимджонович</dc:creator>
  <lastModifiedBy>SM-S9080</lastModifiedBy>
  <dcterms:modified xsi:type="dcterms:W3CDTF">2026-08-25T12:23:39Z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f837e896207c4225984eda80e31ef8be_23</vt:lpwstr>
  </property>
</Properties>
</file>